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498" w:rsidRPr="004735CA" w:rsidRDefault="00365596" w:rsidP="00BE0498">
      <w:pPr>
        <w:jc w:val="center"/>
        <w:rPr>
          <w:b/>
          <w:bCs/>
          <w:sz w:val="32"/>
          <w:szCs w:val="32"/>
          <w:u w:val="single"/>
          <w:lang w:val="fr-CA"/>
        </w:rPr>
      </w:pPr>
      <w:r w:rsidRPr="004735CA">
        <w:rPr>
          <w:b/>
          <w:bCs/>
          <w:sz w:val="32"/>
          <w:szCs w:val="32"/>
          <w:u w:val="single"/>
          <w:lang w:val="fr-CA"/>
        </w:rPr>
        <w:t>A</w:t>
      </w:r>
      <w:r w:rsidR="006808D6">
        <w:rPr>
          <w:b/>
          <w:bCs/>
          <w:sz w:val="32"/>
          <w:szCs w:val="32"/>
          <w:u w:val="single"/>
          <w:lang w:val="fr-CA"/>
        </w:rPr>
        <w:t>DMISSIBILITÉ DANS LES CATÉGORIES D’ÂGE</w:t>
      </w:r>
      <w:r w:rsidR="008115BC" w:rsidRPr="004735CA">
        <w:rPr>
          <w:b/>
          <w:bCs/>
          <w:sz w:val="32"/>
          <w:szCs w:val="32"/>
          <w:u w:val="single"/>
          <w:lang w:val="fr-CA"/>
        </w:rPr>
        <w:t xml:space="preserve"> </w:t>
      </w:r>
      <w:r w:rsidR="008115BC" w:rsidRPr="004735CA">
        <w:rPr>
          <w:b/>
          <w:bCs/>
          <w:i/>
          <w:sz w:val="18"/>
          <w:szCs w:val="18"/>
          <w:lang w:val="fr-CA"/>
        </w:rPr>
        <w:t>(</w:t>
      </w:r>
      <w:r w:rsidR="00E33C14">
        <w:rPr>
          <w:b/>
          <w:bCs/>
          <w:i/>
          <w:sz w:val="18"/>
          <w:szCs w:val="18"/>
          <w:lang w:val="fr-CA"/>
        </w:rPr>
        <w:t>juillet</w:t>
      </w:r>
      <w:r w:rsidR="008115BC" w:rsidRPr="004735CA">
        <w:rPr>
          <w:b/>
          <w:bCs/>
          <w:i/>
          <w:sz w:val="18"/>
          <w:szCs w:val="18"/>
          <w:lang w:val="fr-CA"/>
        </w:rPr>
        <w:t xml:space="preserve"> 2018)</w:t>
      </w:r>
    </w:p>
    <w:p w:rsidR="00506896" w:rsidRPr="004735CA" w:rsidRDefault="00506896" w:rsidP="00BE0498">
      <w:pPr>
        <w:rPr>
          <w:b/>
          <w:bCs/>
          <w:lang w:val="fr-CA"/>
        </w:rPr>
      </w:pPr>
    </w:p>
    <w:p w:rsidR="00BE0498" w:rsidRPr="00B27BEF" w:rsidRDefault="00506896" w:rsidP="00BE0498">
      <w:pPr>
        <w:rPr>
          <w:bCs/>
          <w:lang w:val="fr-CA"/>
        </w:rPr>
      </w:pPr>
      <w:r w:rsidRPr="007312D7">
        <w:rPr>
          <w:bCs/>
          <w:lang w:val="fr-CA"/>
        </w:rPr>
        <w:t xml:space="preserve">Tennis Canada </w:t>
      </w:r>
      <w:r w:rsidR="009959A8" w:rsidRPr="007312D7">
        <w:rPr>
          <w:bCs/>
          <w:lang w:val="fr-CA"/>
        </w:rPr>
        <w:t>et les associations provinciales de tennis utilisent actuellement l’année civile pour déterminer</w:t>
      </w:r>
      <w:r w:rsidR="00AE58CB" w:rsidRPr="007312D7">
        <w:rPr>
          <w:bCs/>
          <w:lang w:val="fr-CA"/>
        </w:rPr>
        <w:t xml:space="preserve"> l’admissibilité dans les catégories d’âge dans le cadre des tournois canadiens et provinciaux sanctionnés. </w:t>
      </w:r>
      <w:r w:rsidR="008A2E6F" w:rsidRPr="007312D7">
        <w:rPr>
          <w:bCs/>
          <w:lang w:val="fr-CA"/>
        </w:rPr>
        <w:t>Au fil</w:t>
      </w:r>
      <w:r w:rsidR="007312D7" w:rsidRPr="007312D7">
        <w:rPr>
          <w:bCs/>
          <w:lang w:val="fr-CA"/>
        </w:rPr>
        <w:t xml:space="preserve"> des ans, ce processus a très bien fonctionné et il suit l’exemple de la Fédération internationale de tennis (ITF) et de la majorité des nations de tennis. Il suit également le même processus adopté par de nombreux sports canadiens de premier plan comme le hockey, le soccer, le baseball et le basketball. </w:t>
      </w:r>
      <w:r w:rsidR="007312D7" w:rsidRPr="00B27BEF">
        <w:rPr>
          <w:bCs/>
          <w:lang w:val="fr-CA"/>
        </w:rPr>
        <w:t xml:space="preserve">Malgré cela, nous avons travaillé avec les associations provinciales de tennis pour </w:t>
      </w:r>
      <w:r w:rsidR="00B27BEF" w:rsidRPr="00B27BEF">
        <w:rPr>
          <w:bCs/>
          <w:lang w:val="fr-CA"/>
        </w:rPr>
        <w:t>passer en revue notre pratique actuelle en</w:t>
      </w:r>
      <w:r w:rsidR="00B27BEF">
        <w:rPr>
          <w:bCs/>
          <w:lang w:val="fr-CA"/>
        </w:rPr>
        <w:t xml:space="preserve"> </w:t>
      </w:r>
      <w:r w:rsidR="00B27BEF" w:rsidRPr="00B27BEF">
        <w:rPr>
          <w:bCs/>
          <w:lang w:val="fr-CA"/>
        </w:rPr>
        <w:t xml:space="preserve">ce qui concerne </w:t>
      </w:r>
      <w:r w:rsidR="00B27BEF">
        <w:rPr>
          <w:bCs/>
          <w:lang w:val="fr-CA"/>
        </w:rPr>
        <w:t xml:space="preserve">l’admissibilité dans les groupes d’âge afin d’évaluer les données dont nous disposons concernant les dates de naissance et la façon dont cela se répercute sur les résultats des joueurs et les taux globaux de rétention des joueurs juniors. </w:t>
      </w:r>
    </w:p>
    <w:p w:rsidR="00506896" w:rsidRPr="00B27BEF" w:rsidRDefault="00506896" w:rsidP="006255D3">
      <w:pPr>
        <w:rPr>
          <w:bCs/>
          <w:lang w:val="fr-CA"/>
        </w:rPr>
      </w:pPr>
    </w:p>
    <w:p w:rsidR="006255D3" w:rsidRPr="004735CA" w:rsidRDefault="00B27BEF" w:rsidP="006255D3">
      <w:pPr>
        <w:rPr>
          <w:bCs/>
          <w:lang w:val="fr-CA"/>
        </w:rPr>
      </w:pPr>
      <w:r>
        <w:rPr>
          <w:bCs/>
          <w:lang w:val="fr-CA"/>
        </w:rPr>
        <w:t xml:space="preserve">Compte tenu de ce qui précède, l’admissibilité aux catégories d’âge est un élément important à surveiller, car il détermine la catégorie dans laquelle un joueur </w:t>
      </w:r>
      <w:r w:rsidR="00B24A98">
        <w:rPr>
          <w:bCs/>
          <w:lang w:val="fr-CA"/>
        </w:rPr>
        <w:t xml:space="preserve">junior </w:t>
      </w:r>
      <w:r>
        <w:rPr>
          <w:bCs/>
          <w:lang w:val="fr-CA"/>
        </w:rPr>
        <w:t xml:space="preserve">évoluera. </w:t>
      </w:r>
      <w:r w:rsidR="00B24A98">
        <w:rPr>
          <w:bCs/>
          <w:lang w:val="fr-CA"/>
        </w:rPr>
        <w:t xml:space="preserve">Voici donc une mise à jour du récent examen de nos pratiques, processus et données actuelles concernant l’admissibilité dans les catégories d’âge en ce qui a trait aux résultats des joueurs et aux taux de rétention. </w:t>
      </w:r>
      <w:r w:rsidR="00E83DB5" w:rsidRPr="004735CA">
        <w:rPr>
          <w:bCs/>
          <w:lang w:val="fr-CA"/>
        </w:rPr>
        <w:t xml:space="preserve">  </w:t>
      </w:r>
    </w:p>
    <w:p w:rsidR="00DE4D4A" w:rsidRPr="004735CA" w:rsidRDefault="00DE4D4A" w:rsidP="00FE366E">
      <w:pPr>
        <w:rPr>
          <w:bCs/>
          <w:lang w:val="fr-CA"/>
        </w:rPr>
      </w:pPr>
    </w:p>
    <w:p w:rsidR="00E83DB5" w:rsidRPr="00B24A98" w:rsidRDefault="00B24A98" w:rsidP="00FE366E">
      <w:pPr>
        <w:rPr>
          <w:bCs/>
          <w:i/>
          <w:lang w:val="fr-CA"/>
        </w:rPr>
      </w:pPr>
      <w:r w:rsidRPr="00B24A98">
        <w:rPr>
          <w:bCs/>
          <w:i/>
          <w:lang w:val="fr-CA"/>
        </w:rPr>
        <w:t>Contexte</w:t>
      </w:r>
    </w:p>
    <w:p w:rsidR="005742EF" w:rsidRPr="00B94DEE" w:rsidRDefault="00F22E65" w:rsidP="00FE366E">
      <w:pPr>
        <w:rPr>
          <w:bCs/>
        </w:rPr>
      </w:pPr>
      <w:r w:rsidRPr="00B94DEE">
        <w:rPr>
          <w:bCs/>
          <w:lang w:val="fr-CA"/>
        </w:rPr>
        <w:t xml:space="preserve">Tennis Canada </w:t>
      </w:r>
      <w:r w:rsidR="00B24A98" w:rsidRPr="00B94DEE">
        <w:rPr>
          <w:bCs/>
          <w:lang w:val="fr-CA"/>
        </w:rPr>
        <w:t>et les associations provinciales de tennis se sont d’abord penchés sur ce processus lors de la conception du nouveau système de classement intégré mis en œuvre en 2014. Certaines études internationales ont démontré que les participants nés en début d’année ont un avantage sur ceux qui sont nés plus tard dans l’année. C’est ce qu’on appelle «</w:t>
      </w:r>
      <w:r w:rsidR="009C0710">
        <w:rPr>
          <w:bCs/>
          <w:lang w:val="fr-CA"/>
        </w:rPr>
        <w:t> </w:t>
      </w:r>
      <w:r w:rsidR="00B24A98" w:rsidRPr="00B94DEE">
        <w:rPr>
          <w:bCs/>
          <w:lang w:val="fr-CA"/>
        </w:rPr>
        <w:t>l’effet du mois de naissance</w:t>
      </w:r>
      <w:r w:rsidR="009C0710">
        <w:rPr>
          <w:bCs/>
          <w:lang w:val="fr-CA"/>
        </w:rPr>
        <w:t> </w:t>
      </w:r>
      <w:r w:rsidR="00B24A98" w:rsidRPr="00B94DEE">
        <w:rPr>
          <w:bCs/>
          <w:lang w:val="fr-CA"/>
        </w:rPr>
        <w:t xml:space="preserve">». L’analyse de </w:t>
      </w:r>
      <w:r w:rsidR="000C4351" w:rsidRPr="00B94DEE">
        <w:rPr>
          <w:bCs/>
          <w:lang w:val="fr-CA"/>
        </w:rPr>
        <w:t xml:space="preserve">2014 </w:t>
      </w:r>
      <w:r w:rsidR="00B24A98" w:rsidRPr="00B94DEE">
        <w:rPr>
          <w:bCs/>
          <w:lang w:val="fr-CA"/>
        </w:rPr>
        <w:t>indique que le «</w:t>
      </w:r>
      <w:r w:rsidR="009C0710">
        <w:rPr>
          <w:bCs/>
          <w:lang w:val="fr-CA"/>
        </w:rPr>
        <w:t> </w:t>
      </w:r>
      <w:r w:rsidR="00B24A98" w:rsidRPr="00B94DEE">
        <w:rPr>
          <w:bCs/>
          <w:lang w:val="fr-CA"/>
        </w:rPr>
        <w:t>mois de naissance</w:t>
      </w:r>
      <w:r w:rsidR="009C0710">
        <w:rPr>
          <w:bCs/>
          <w:lang w:val="fr-CA"/>
        </w:rPr>
        <w:t> »</w:t>
      </w:r>
      <w:r w:rsidR="00B24A98" w:rsidRPr="00B94DEE">
        <w:rPr>
          <w:bCs/>
          <w:lang w:val="fr-CA"/>
        </w:rPr>
        <w:t xml:space="preserve"> n’a pas eu d’incidences négatives sur nos joueurs. De plus, nous avons examin</w:t>
      </w:r>
      <w:r w:rsidR="00B94DEE" w:rsidRPr="00B94DEE">
        <w:rPr>
          <w:bCs/>
          <w:lang w:val="fr-CA"/>
        </w:rPr>
        <w:t>é</w:t>
      </w:r>
      <w:r w:rsidR="00B24A98" w:rsidRPr="00B94DEE">
        <w:rPr>
          <w:bCs/>
          <w:lang w:val="fr-CA"/>
        </w:rPr>
        <w:t xml:space="preserve"> notre basin </w:t>
      </w:r>
      <w:r w:rsidR="00B94DEE" w:rsidRPr="00B94DEE">
        <w:rPr>
          <w:bCs/>
          <w:lang w:val="fr-CA"/>
        </w:rPr>
        <w:t>global de joueurs et les conditions canadiennes qui limitent la taille et la profondeur des tableaux pour chaque catégorie d’âge. En se basant sur la recherche effectuée, T</w:t>
      </w:r>
      <w:r w:rsidR="00E83DB5" w:rsidRPr="00B94DEE">
        <w:rPr>
          <w:bCs/>
          <w:lang w:val="fr-CA"/>
        </w:rPr>
        <w:t xml:space="preserve">ennis Canada </w:t>
      </w:r>
      <w:r w:rsidR="00B94DEE" w:rsidRPr="00B94DEE">
        <w:rPr>
          <w:bCs/>
          <w:lang w:val="fr-CA"/>
        </w:rPr>
        <w:t xml:space="preserve">et les associations provinciales ont </w:t>
      </w:r>
      <w:r w:rsidR="00B94DEE">
        <w:rPr>
          <w:bCs/>
          <w:lang w:val="fr-CA"/>
        </w:rPr>
        <w:t xml:space="preserve">établi </w:t>
      </w:r>
      <w:r w:rsidR="00B94DEE" w:rsidRPr="00B94DEE">
        <w:rPr>
          <w:bCs/>
          <w:lang w:val="fr-CA"/>
        </w:rPr>
        <w:t>que l</w:t>
      </w:r>
      <w:r w:rsidR="00B94DEE">
        <w:rPr>
          <w:bCs/>
          <w:lang w:val="fr-CA"/>
        </w:rPr>
        <w:t xml:space="preserve">’utilisation de l’année civile pour déterminer l’admissibilité dans les catégories d’âge était le processus approprié pour notre sport à l’échelle provinciale et canadienne. </w:t>
      </w:r>
    </w:p>
    <w:p w:rsidR="00DE4D4A" w:rsidRPr="00B94DEE" w:rsidRDefault="00DE4D4A" w:rsidP="00FE366E">
      <w:pPr>
        <w:rPr>
          <w:bCs/>
        </w:rPr>
      </w:pPr>
    </w:p>
    <w:p w:rsidR="005742EF" w:rsidRPr="00B94DEE" w:rsidRDefault="00B94DEE" w:rsidP="00FE366E">
      <w:pPr>
        <w:rPr>
          <w:bCs/>
          <w:lang w:val="fr-CA"/>
        </w:rPr>
      </w:pPr>
      <w:r w:rsidRPr="00B94DEE">
        <w:rPr>
          <w:bCs/>
          <w:lang w:val="fr-CA"/>
        </w:rPr>
        <w:t xml:space="preserve">Nous avons revu les données en </w:t>
      </w:r>
      <w:r w:rsidR="00D62766" w:rsidRPr="00B94DEE">
        <w:rPr>
          <w:bCs/>
          <w:lang w:val="fr-CA"/>
        </w:rPr>
        <w:t>2018</w:t>
      </w:r>
      <w:r w:rsidRPr="00B94DEE">
        <w:rPr>
          <w:bCs/>
          <w:lang w:val="fr-CA"/>
        </w:rPr>
        <w:t xml:space="preserve"> et nous avons examiné plus particulièreme</w:t>
      </w:r>
      <w:r>
        <w:rPr>
          <w:bCs/>
          <w:lang w:val="fr-CA"/>
        </w:rPr>
        <w:t>n</w:t>
      </w:r>
      <w:r w:rsidRPr="00B94DEE">
        <w:rPr>
          <w:bCs/>
          <w:lang w:val="fr-CA"/>
        </w:rPr>
        <w:t>t l’incidence que cela a eu</w:t>
      </w:r>
      <w:r w:rsidR="009C0710">
        <w:rPr>
          <w:bCs/>
          <w:lang w:val="fr-CA"/>
        </w:rPr>
        <w:t>e</w:t>
      </w:r>
      <w:r w:rsidRPr="00B94DEE">
        <w:rPr>
          <w:bCs/>
          <w:lang w:val="fr-CA"/>
        </w:rPr>
        <w:t xml:space="preserve"> sur les prestations et les résultats des joueurs sur la scène compétitive canadienne. </w:t>
      </w:r>
      <w:r w:rsidR="00DF2526" w:rsidRPr="00B94DEE">
        <w:rPr>
          <w:bCs/>
          <w:lang w:val="fr-CA"/>
        </w:rPr>
        <w:t xml:space="preserve"> </w:t>
      </w:r>
    </w:p>
    <w:p w:rsidR="00DF2526" w:rsidRPr="00B94DEE" w:rsidRDefault="00DF2526" w:rsidP="00FE366E">
      <w:pPr>
        <w:rPr>
          <w:bCs/>
          <w:lang w:val="fr-CA"/>
        </w:rPr>
      </w:pPr>
    </w:p>
    <w:p w:rsidR="00DF2526" w:rsidRPr="00B94DEE" w:rsidRDefault="00B94DEE" w:rsidP="00FE366E">
      <w:pPr>
        <w:rPr>
          <w:b/>
          <w:bCs/>
          <w:lang w:val="fr-CA"/>
        </w:rPr>
      </w:pPr>
      <w:r w:rsidRPr="00B94DEE">
        <w:rPr>
          <w:b/>
          <w:bCs/>
          <w:u w:val="single"/>
          <w:lang w:val="fr-CA"/>
        </w:rPr>
        <w:t xml:space="preserve">La plus récente </w:t>
      </w:r>
      <w:r>
        <w:rPr>
          <w:b/>
          <w:bCs/>
          <w:u w:val="single"/>
          <w:lang w:val="fr-CA"/>
        </w:rPr>
        <w:t>révision</w:t>
      </w:r>
      <w:r w:rsidRPr="00B94DEE">
        <w:rPr>
          <w:b/>
          <w:bCs/>
          <w:u w:val="single"/>
          <w:lang w:val="fr-CA"/>
        </w:rPr>
        <w:t xml:space="preserve"> comprenait les éléments suivants</w:t>
      </w:r>
      <w:r w:rsidR="009C0710">
        <w:rPr>
          <w:b/>
          <w:bCs/>
          <w:u w:val="single"/>
          <w:lang w:val="fr-CA"/>
        </w:rPr>
        <w:t> </w:t>
      </w:r>
      <w:r w:rsidR="009C23B4" w:rsidRPr="00B94DEE">
        <w:rPr>
          <w:b/>
          <w:bCs/>
          <w:lang w:val="fr-CA"/>
        </w:rPr>
        <w:t>:</w:t>
      </w:r>
      <w:r w:rsidR="00FE366E" w:rsidRPr="00B94DEE">
        <w:rPr>
          <w:b/>
          <w:bCs/>
          <w:lang w:val="fr-CA"/>
        </w:rPr>
        <w:t xml:space="preserve"> </w:t>
      </w:r>
    </w:p>
    <w:p w:rsidR="00C044E0" w:rsidRPr="00B94DEE" w:rsidRDefault="00B94DEE" w:rsidP="005742EF">
      <w:pPr>
        <w:pStyle w:val="ListParagraph"/>
        <w:numPr>
          <w:ilvl w:val="0"/>
          <w:numId w:val="9"/>
        </w:numPr>
        <w:rPr>
          <w:bCs/>
          <w:lang w:val="fr-CA"/>
        </w:rPr>
      </w:pPr>
      <w:r w:rsidRPr="00B94DEE">
        <w:rPr>
          <w:bCs/>
          <w:lang w:val="fr-CA"/>
        </w:rPr>
        <w:t xml:space="preserve">L’analyse du circuit canadien Futures stars (circuit compétitif pour les 10 ans et moins) </w:t>
      </w:r>
      <w:r w:rsidRPr="002F5100">
        <w:rPr>
          <w:bCs/>
          <w:lang w:val="fr-CA"/>
        </w:rPr>
        <w:t>pour d</w:t>
      </w:r>
      <w:r>
        <w:rPr>
          <w:bCs/>
          <w:lang w:val="fr-CA"/>
        </w:rPr>
        <w:t>é</w:t>
      </w:r>
      <w:r w:rsidRPr="002F5100">
        <w:rPr>
          <w:bCs/>
          <w:lang w:val="fr-CA"/>
        </w:rPr>
        <w:t>terminer s’il y a un avantage pour les joueurs nés dans</w:t>
      </w:r>
      <w:r>
        <w:rPr>
          <w:bCs/>
          <w:lang w:val="fr-CA"/>
        </w:rPr>
        <w:t xml:space="preserve"> la première moitié de l’année</w:t>
      </w:r>
      <w:r w:rsidR="00992980" w:rsidRPr="00B94DEE">
        <w:rPr>
          <w:bCs/>
          <w:lang w:val="fr-CA"/>
        </w:rPr>
        <w:t xml:space="preserve">. </w:t>
      </w:r>
    </w:p>
    <w:p w:rsidR="00C149C4" w:rsidRPr="00B94DEE" w:rsidRDefault="00B94DEE" w:rsidP="005742EF">
      <w:pPr>
        <w:pStyle w:val="ListParagraph"/>
        <w:numPr>
          <w:ilvl w:val="0"/>
          <w:numId w:val="9"/>
        </w:numPr>
        <w:rPr>
          <w:bCs/>
          <w:lang w:val="fr-CA"/>
        </w:rPr>
      </w:pPr>
      <w:r w:rsidRPr="00B94DEE">
        <w:rPr>
          <w:bCs/>
          <w:lang w:val="fr-CA"/>
        </w:rPr>
        <w:t xml:space="preserve">L’analyse de l’incidence du </w:t>
      </w:r>
      <w:r>
        <w:rPr>
          <w:bCs/>
          <w:lang w:val="fr-CA"/>
        </w:rPr>
        <w:t>«</w:t>
      </w:r>
      <w:r w:rsidR="009C0710">
        <w:rPr>
          <w:bCs/>
          <w:lang w:val="fr-CA"/>
        </w:rPr>
        <w:t> </w:t>
      </w:r>
      <w:r w:rsidRPr="00B94DEE">
        <w:rPr>
          <w:bCs/>
          <w:lang w:val="fr-CA"/>
        </w:rPr>
        <w:t>mois de naissance</w:t>
      </w:r>
      <w:r w:rsidR="009C0710">
        <w:rPr>
          <w:bCs/>
          <w:lang w:val="fr-CA"/>
        </w:rPr>
        <w:t> </w:t>
      </w:r>
      <w:r>
        <w:rPr>
          <w:bCs/>
          <w:lang w:val="fr-CA"/>
        </w:rPr>
        <w:t>»</w:t>
      </w:r>
      <w:r w:rsidRPr="00B94DEE">
        <w:rPr>
          <w:bCs/>
          <w:lang w:val="fr-CA"/>
        </w:rPr>
        <w:t xml:space="preserve"> sur le</w:t>
      </w:r>
      <w:r>
        <w:rPr>
          <w:bCs/>
          <w:lang w:val="fr-CA"/>
        </w:rPr>
        <w:t>s joueurs qui abandonnent la compétition au Canada.</w:t>
      </w:r>
      <w:r w:rsidR="00C149C4" w:rsidRPr="00B94DEE">
        <w:rPr>
          <w:bCs/>
          <w:lang w:val="fr-CA"/>
        </w:rPr>
        <w:t xml:space="preserve"> </w:t>
      </w:r>
    </w:p>
    <w:p w:rsidR="000F178B" w:rsidRPr="00690B36" w:rsidRDefault="00B94DEE" w:rsidP="000B6279">
      <w:pPr>
        <w:pStyle w:val="ListParagraph"/>
        <w:numPr>
          <w:ilvl w:val="0"/>
          <w:numId w:val="9"/>
        </w:numPr>
        <w:rPr>
          <w:bCs/>
          <w:lang w:val="fr-CA"/>
        </w:rPr>
      </w:pPr>
      <w:r w:rsidRPr="00B94DEE">
        <w:rPr>
          <w:bCs/>
          <w:lang w:val="fr-CA"/>
        </w:rPr>
        <w:t xml:space="preserve">L’analyse du </w:t>
      </w:r>
      <w:r w:rsidR="00690B36">
        <w:rPr>
          <w:bCs/>
          <w:lang w:val="fr-CA"/>
        </w:rPr>
        <w:t>«</w:t>
      </w:r>
      <w:r w:rsidR="009C0710">
        <w:rPr>
          <w:bCs/>
          <w:lang w:val="fr-CA"/>
        </w:rPr>
        <w:t> </w:t>
      </w:r>
      <w:r w:rsidRPr="00B94DEE">
        <w:rPr>
          <w:bCs/>
          <w:lang w:val="fr-CA"/>
        </w:rPr>
        <w:t>taux de r</w:t>
      </w:r>
      <w:r>
        <w:rPr>
          <w:bCs/>
          <w:lang w:val="fr-CA"/>
        </w:rPr>
        <w:t>é</w:t>
      </w:r>
      <w:r w:rsidRPr="00B94DEE">
        <w:rPr>
          <w:bCs/>
          <w:lang w:val="fr-CA"/>
        </w:rPr>
        <w:t>tention</w:t>
      </w:r>
      <w:r w:rsidR="009C0710">
        <w:rPr>
          <w:bCs/>
          <w:lang w:val="fr-CA"/>
        </w:rPr>
        <w:t> </w:t>
      </w:r>
      <w:r w:rsidR="00690B36">
        <w:rPr>
          <w:bCs/>
          <w:lang w:val="fr-CA"/>
        </w:rPr>
        <w:t>»</w:t>
      </w:r>
      <w:r w:rsidRPr="00B94DEE">
        <w:rPr>
          <w:bCs/>
          <w:lang w:val="fr-CA"/>
        </w:rPr>
        <w:t xml:space="preserve"> sur la scène canadienne</w:t>
      </w:r>
      <w:r>
        <w:rPr>
          <w:bCs/>
          <w:lang w:val="fr-CA"/>
        </w:rPr>
        <w:t xml:space="preserve"> de compétition pour déterminer si notre politique actuelle </w:t>
      </w:r>
      <w:r w:rsidR="00690B36">
        <w:rPr>
          <w:bCs/>
          <w:lang w:val="fr-CA"/>
        </w:rPr>
        <w:t xml:space="preserve">favorise la rétention ou l’abandon. </w:t>
      </w:r>
      <w:r w:rsidR="00992980" w:rsidRPr="00690B36">
        <w:rPr>
          <w:bCs/>
          <w:lang w:val="fr-CA"/>
        </w:rPr>
        <w:t xml:space="preserve"> </w:t>
      </w:r>
    </w:p>
    <w:p w:rsidR="00F65A80" w:rsidRPr="0057608F" w:rsidRDefault="00690B36" w:rsidP="000B6279">
      <w:pPr>
        <w:pStyle w:val="ListParagraph"/>
        <w:numPr>
          <w:ilvl w:val="0"/>
          <w:numId w:val="9"/>
        </w:numPr>
        <w:rPr>
          <w:bCs/>
          <w:lang w:val="fr-CA"/>
        </w:rPr>
      </w:pPr>
      <w:r w:rsidRPr="0057608F">
        <w:rPr>
          <w:bCs/>
          <w:lang w:val="fr-CA"/>
        </w:rPr>
        <w:t xml:space="preserve">L’examen du processus d’admissibilité adopté par d’autres sports </w:t>
      </w:r>
      <w:r w:rsidR="0057608F" w:rsidRPr="0057608F">
        <w:rPr>
          <w:bCs/>
          <w:lang w:val="fr-CA"/>
        </w:rPr>
        <w:t>canadiens de premier plan, notamment le hockey, le soccer, le baseball et le b</w:t>
      </w:r>
      <w:r w:rsidR="00DF2526" w:rsidRPr="0057608F">
        <w:rPr>
          <w:bCs/>
          <w:lang w:val="fr-CA"/>
        </w:rPr>
        <w:t>asketball.</w:t>
      </w:r>
    </w:p>
    <w:p w:rsidR="00DF2526" w:rsidRPr="0057608F" w:rsidRDefault="0057608F" w:rsidP="00DF2526">
      <w:pPr>
        <w:pStyle w:val="ListParagraph"/>
        <w:numPr>
          <w:ilvl w:val="0"/>
          <w:numId w:val="9"/>
        </w:numPr>
        <w:rPr>
          <w:bCs/>
          <w:lang w:val="fr-CA"/>
        </w:rPr>
      </w:pPr>
      <w:r w:rsidRPr="0057608F">
        <w:rPr>
          <w:bCs/>
          <w:lang w:val="fr-CA"/>
        </w:rPr>
        <w:t>La compr</w:t>
      </w:r>
      <w:r>
        <w:rPr>
          <w:bCs/>
          <w:lang w:val="fr-CA"/>
        </w:rPr>
        <w:t>é</w:t>
      </w:r>
      <w:r w:rsidRPr="0057608F">
        <w:rPr>
          <w:bCs/>
          <w:lang w:val="fr-CA"/>
        </w:rPr>
        <w:t>hension de ce que font les autres p</w:t>
      </w:r>
      <w:r>
        <w:rPr>
          <w:bCs/>
          <w:lang w:val="fr-CA"/>
        </w:rPr>
        <w:t>ays du Grand Chelem et l’ITF.</w:t>
      </w:r>
      <w:r w:rsidR="00DF2526" w:rsidRPr="0057608F">
        <w:rPr>
          <w:bCs/>
          <w:lang w:val="fr-CA"/>
        </w:rPr>
        <w:t xml:space="preserve"> </w:t>
      </w:r>
    </w:p>
    <w:tbl>
      <w:tblPr>
        <w:tblW w:w="9493" w:type="dxa"/>
        <w:tblInd w:w="987" w:type="dxa"/>
        <w:tblLook w:val="04A0" w:firstRow="1" w:lastRow="0" w:firstColumn="1" w:lastColumn="0" w:noHBand="0" w:noVBand="1"/>
      </w:tblPr>
      <w:tblGrid>
        <w:gridCol w:w="1271"/>
        <w:gridCol w:w="2127"/>
        <w:gridCol w:w="6095"/>
      </w:tblGrid>
      <w:tr w:rsidR="00DF2526" w:rsidRPr="004735CA" w:rsidTr="006578D0">
        <w:trPr>
          <w:trHeight w:val="143"/>
        </w:trPr>
        <w:tc>
          <w:tcPr>
            <w:tcW w:w="127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F2526" w:rsidRPr="004735CA" w:rsidRDefault="00DF2526" w:rsidP="006578D0">
            <w:pPr>
              <w:rPr>
                <w:rFonts w:eastAsia="Times New Roman"/>
                <w:b/>
                <w:bCs/>
                <w:color w:val="000000"/>
                <w:lang w:val="fr-CA" w:eastAsia="en-CA"/>
              </w:rPr>
            </w:pPr>
            <w:r w:rsidRPr="004735CA">
              <w:rPr>
                <w:rFonts w:eastAsia="Times New Roman"/>
                <w:b/>
                <w:bCs/>
                <w:color w:val="000000"/>
                <w:lang w:val="fr-CA" w:eastAsia="en-CA"/>
              </w:rPr>
              <w:t>Entit</w:t>
            </w:r>
            <w:r w:rsidR="006808D6">
              <w:rPr>
                <w:rFonts w:eastAsia="Times New Roman"/>
                <w:b/>
                <w:bCs/>
                <w:color w:val="000000"/>
                <w:lang w:val="fr-CA" w:eastAsia="en-CA"/>
              </w:rPr>
              <w:t>é</w:t>
            </w:r>
          </w:p>
        </w:tc>
        <w:tc>
          <w:tcPr>
            <w:tcW w:w="2127" w:type="dxa"/>
            <w:tcBorders>
              <w:top w:val="single" w:sz="8" w:space="0" w:color="auto"/>
              <w:left w:val="nil"/>
              <w:bottom w:val="single" w:sz="4" w:space="0" w:color="auto"/>
              <w:right w:val="single" w:sz="4" w:space="0" w:color="auto"/>
            </w:tcBorders>
            <w:shd w:val="clear" w:color="auto" w:fill="auto"/>
            <w:vAlign w:val="center"/>
            <w:hideMark/>
          </w:tcPr>
          <w:p w:rsidR="00DF2526" w:rsidRPr="004735CA" w:rsidRDefault="006808D6" w:rsidP="006578D0">
            <w:pPr>
              <w:rPr>
                <w:rFonts w:eastAsia="Times New Roman"/>
                <w:b/>
                <w:bCs/>
                <w:color w:val="000000"/>
                <w:lang w:val="fr-CA" w:eastAsia="en-CA"/>
              </w:rPr>
            </w:pPr>
            <w:r>
              <w:rPr>
                <w:rFonts w:eastAsia="Times New Roman"/>
                <w:b/>
                <w:bCs/>
                <w:color w:val="000000"/>
                <w:lang w:val="fr-CA" w:eastAsia="en-CA"/>
              </w:rPr>
              <w:t>Politique actuelle</w:t>
            </w:r>
          </w:p>
        </w:tc>
        <w:tc>
          <w:tcPr>
            <w:tcW w:w="6095" w:type="dxa"/>
            <w:tcBorders>
              <w:top w:val="single" w:sz="8" w:space="0" w:color="auto"/>
              <w:left w:val="nil"/>
              <w:bottom w:val="single" w:sz="4" w:space="0" w:color="auto"/>
              <w:right w:val="single" w:sz="8" w:space="0" w:color="auto"/>
            </w:tcBorders>
            <w:shd w:val="clear" w:color="auto" w:fill="auto"/>
            <w:vAlign w:val="center"/>
            <w:hideMark/>
          </w:tcPr>
          <w:p w:rsidR="00DF2526" w:rsidRPr="004735CA" w:rsidRDefault="00DF2526" w:rsidP="006578D0">
            <w:pPr>
              <w:rPr>
                <w:rFonts w:eastAsia="Times New Roman"/>
                <w:b/>
                <w:bCs/>
                <w:color w:val="000000"/>
                <w:lang w:val="fr-CA" w:eastAsia="en-CA"/>
              </w:rPr>
            </w:pPr>
            <w:r w:rsidRPr="004735CA">
              <w:rPr>
                <w:rFonts w:eastAsia="Times New Roman"/>
                <w:b/>
                <w:bCs/>
                <w:color w:val="000000"/>
                <w:lang w:val="fr-CA" w:eastAsia="en-CA"/>
              </w:rPr>
              <w:t>Ex</w:t>
            </w:r>
            <w:r w:rsidR="006808D6">
              <w:rPr>
                <w:rFonts w:eastAsia="Times New Roman"/>
                <w:b/>
                <w:bCs/>
                <w:color w:val="000000"/>
                <w:lang w:val="fr-CA" w:eastAsia="en-CA"/>
              </w:rPr>
              <w:t>e</w:t>
            </w:r>
            <w:r w:rsidRPr="004735CA">
              <w:rPr>
                <w:rFonts w:eastAsia="Times New Roman"/>
                <w:b/>
                <w:bCs/>
                <w:color w:val="000000"/>
                <w:lang w:val="fr-CA" w:eastAsia="en-CA"/>
              </w:rPr>
              <w:t>mple</w:t>
            </w:r>
          </w:p>
        </w:tc>
      </w:tr>
      <w:tr w:rsidR="00DF2526" w:rsidRPr="004735CA" w:rsidTr="006578D0">
        <w:trPr>
          <w:trHeight w:val="288"/>
        </w:trPr>
        <w:tc>
          <w:tcPr>
            <w:tcW w:w="1271" w:type="dxa"/>
            <w:tcBorders>
              <w:top w:val="nil"/>
              <w:left w:val="single" w:sz="8" w:space="0" w:color="auto"/>
              <w:bottom w:val="single" w:sz="4" w:space="0" w:color="auto"/>
              <w:right w:val="single" w:sz="4" w:space="0" w:color="auto"/>
            </w:tcBorders>
            <w:shd w:val="clear" w:color="auto" w:fill="auto"/>
            <w:vAlign w:val="center"/>
            <w:hideMark/>
          </w:tcPr>
          <w:p w:rsidR="00DF2526" w:rsidRPr="004735CA" w:rsidRDefault="00DF2526" w:rsidP="006578D0">
            <w:pPr>
              <w:rPr>
                <w:rFonts w:eastAsia="Times New Roman"/>
                <w:b/>
                <w:bCs/>
                <w:color w:val="000000"/>
                <w:lang w:val="fr-CA" w:eastAsia="en-CA"/>
              </w:rPr>
            </w:pPr>
            <w:r w:rsidRPr="004735CA">
              <w:rPr>
                <w:rFonts w:eastAsia="Times New Roman"/>
                <w:b/>
                <w:bCs/>
                <w:color w:val="000000"/>
                <w:lang w:val="fr-CA" w:eastAsia="en-CA"/>
              </w:rPr>
              <w:t>Canada</w:t>
            </w:r>
          </w:p>
        </w:tc>
        <w:tc>
          <w:tcPr>
            <w:tcW w:w="2127" w:type="dxa"/>
            <w:tcBorders>
              <w:top w:val="nil"/>
              <w:left w:val="nil"/>
              <w:bottom w:val="single" w:sz="4" w:space="0" w:color="auto"/>
              <w:right w:val="single" w:sz="4" w:space="0" w:color="auto"/>
            </w:tcBorders>
            <w:shd w:val="clear" w:color="auto" w:fill="auto"/>
            <w:vAlign w:val="center"/>
            <w:hideMark/>
          </w:tcPr>
          <w:p w:rsidR="00DF2526" w:rsidRPr="004735CA" w:rsidRDefault="006808D6" w:rsidP="006578D0">
            <w:pPr>
              <w:rPr>
                <w:rFonts w:eastAsia="Times New Roman"/>
                <w:color w:val="000000"/>
                <w:lang w:val="fr-CA" w:eastAsia="en-CA"/>
              </w:rPr>
            </w:pPr>
            <w:r>
              <w:rPr>
                <w:rFonts w:eastAsia="Times New Roman"/>
                <w:color w:val="000000"/>
                <w:lang w:val="fr-CA" w:eastAsia="en-CA"/>
              </w:rPr>
              <w:t>Année civile</w:t>
            </w:r>
          </w:p>
        </w:tc>
        <w:tc>
          <w:tcPr>
            <w:tcW w:w="6095" w:type="dxa"/>
            <w:tcBorders>
              <w:top w:val="nil"/>
              <w:left w:val="nil"/>
              <w:bottom w:val="single" w:sz="4" w:space="0" w:color="auto"/>
              <w:right w:val="single" w:sz="8" w:space="0" w:color="auto"/>
            </w:tcBorders>
            <w:shd w:val="clear" w:color="auto" w:fill="auto"/>
            <w:vAlign w:val="center"/>
            <w:hideMark/>
          </w:tcPr>
          <w:p w:rsidR="00DF2526" w:rsidRPr="006808D6" w:rsidRDefault="006808D6" w:rsidP="006578D0">
            <w:pPr>
              <w:rPr>
                <w:rFonts w:eastAsia="Times New Roman"/>
                <w:lang w:val="fr-CA" w:eastAsia="en-CA"/>
              </w:rPr>
            </w:pPr>
            <w:r w:rsidRPr="006808D6">
              <w:rPr>
                <w:rFonts w:eastAsia="Times New Roman"/>
                <w:lang w:val="fr-CA" w:eastAsia="en-CA"/>
              </w:rPr>
              <w:t>Un joueur peut jouer dans la catégorie 12 ans et moins jusqu’au 31 décembre de l’année de ses 12 ans.</w:t>
            </w:r>
          </w:p>
        </w:tc>
      </w:tr>
      <w:tr w:rsidR="00DF2526" w:rsidRPr="004735CA" w:rsidTr="006578D0">
        <w:trPr>
          <w:trHeight w:val="288"/>
        </w:trPr>
        <w:tc>
          <w:tcPr>
            <w:tcW w:w="1271" w:type="dxa"/>
            <w:tcBorders>
              <w:top w:val="nil"/>
              <w:left w:val="single" w:sz="8" w:space="0" w:color="auto"/>
              <w:bottom w:val="single" w:sz="4" w:space="0" w:color="auto"/>
              <w:right w:val="single" w:sz="4" w:space="0" w:color="auto"/>
            </w:tcBorders>
            <w:shd w:val="clear" w:color="auto" w:fill="auto"/>
            <w:vAlign w:val="center"/>
            <w:hideMark/>
          </w:tcPr>
          <w:p w:rsidR="00DF2526" w:rsidRPr="004735CA" w:rsidRDefault="00DF2526" w:rsidP="006578D0">
            <w:pPr>
              <w:rPr>
                <w:rFonts w:eastAsia="Times New Roman"/>
                <w:b/>
                <w:bCs/>
                <w:color w:val="000000"/>
                <w:lang w:val="fr-CA" w:eastAsia="en-CA"/>
              </w:rPr>
            </w:pPr>
            <w:r w:rsidRPr="004735CA">
              <w:rPr>
                <w:rFonts w:eastAsia="Times New Roman"/>
                <w:b/>
                <w:bCs/>
                <w:color w:val="000000"/>
                <w:lang w:val="fr-CA" w:eastAsia="en-CA"/>
              </w:rPr>
              <w:t>ITF</w:t>
            </w:r>
          </w:p>
        </w:tc>
        <w:tc>
          <w:tcPr>
            <w:tcW w:w="2127" w:type="dxa"/>
            <w:tcBorders>
              <w:top w:val="nil"/>
              <w:left w:val="nil"/>
              <w:bottom w:val="single" w:sz="4" w:space="0" w:color="auto"/>
              <w:right w:val="single" w:sz="4" w:space="0" w:color="auto"/>
            </w:tcBorders>
            <w:shd w:val="clear" w:color="auto" w:fill="auto"/>
            <w:vAlign w:val="center"/>
            <w:hideMark/>
          </w:tcPr>
          <w:p w:rsidR="00DF2526" w:rsidRPr="004735CA" w:rsidRDefault="006808D6" w:rsidP="006578D0">
            <w:pPr>
              <w:rPr>
                <w:rFonts w:eastAsia="Times New Roman"/>
                <w:color w:val="000000"/>
                <w:lang w:val="fr-CA" w:eastAsia="en-CA"/>
              </w:rPr>
            </w:pPr>
            <w:r>
              <w:rPr>
                <w:rFonts w:eastAsia="Times New Roman"/>
                <w:color w:val="000000"/>
                <w:lang w:val="fr-CA" w:eastAsia="en-CA"/>
              </w:rPr>
              <w:t>Année civile</w:t>
            </w:r>
          </w:p>
        </w:tc>
        <w:tc>
          <w:tcPr>
            <w:tcW w:w="6095" w:type="dxa"/>
            <w:tcBorders>
              <w:top w:val="nil"/>
              <w:left w:val="nil"/>
              <w:bottom w:val="single" w:sz="4" w:space="0" w:color="auto"/>
              <w:right w:val="single" w:sz="8" w:space="0" w:color="auto"/>
            </w:tcBorders>
            <w:shd w:val="clear" w:color="auto" w:fill="auto"/>
            <w:vAlign w:val="center"/>
            <w:hideMark/>
          </w:tcPr>
          <w:p w:rsidR="00DF2526" w:rsidRPr="006808D6" w:rsidRDefault="006808D6" w:rsidP="006578D0">
            <w:pPr>
              <w:rPr>
                <w:rFonts w:eastAsia="Times New Roman"/>
                <w:lang w:val="fr-CA" w:eastAsia="en-CA"/>
              </w:rPr>
            </w:pPr>
            <w:r w:rsidRPr="006808D6">
              <w:rPr>
                <w:rFonts w:eastAsia="Times New Roman"/>
                <w:lang w:val="fr-CA" w:eastAsia="en-CA"/>
              </w:rPr>
              <w:t>Un joueur peut jouer dans la catégorie 12 ans et moins jusqu’au 31 décembre de l’année de ses 12 ans.</w:t>
            </w:r>
          </w:p>
        </w:tc>
      </w:tr>
      <w:tr w:rsidR="00DF2526" w:rsidRPr="004735CA" w:rsidTr="006578D0">
        <w:trPr>
          <w:trHeight w:val="288"/>
        </w:trPr>
        <w:tc>
          <w:tcPr>
            <w:tcW w:w="1271" w:type="dxa"/>
            <w:tcBorders>
              <w:top w:val="nil"/>
              <w:left w:val="single" w:sz="8" w:space="0" w:color="auto"/>
              <w:bottom w:val="single" w:sz="4" w:space="0" w:color="auto"/>
              <w:right w:val="single" w:sz="4" w:space="0" w:color="auto"/>
            </w:tcBorders>
            <w:shd w:val="clear" w:color="auto" w:fill="auto"/>
            <w:vAlign w:val="center"/>
            <w:hideMark/>
          </w:tcPr>
          <w:p w:rsidR="00DF2526" w:rsidRPr="004735CA" w:rsidRDefault="006808D6" w:rsidP="006578D0">
            <w:pPr>
              <w:rPr>
                <w:rFonts w:eastAsia="Times New Roman"/>
                <w:b/>
                <w:bCs/>
                <w:color w:val="000000"/>
                <w:lang w:val="fr-CA" w:eastAsia="en-CA"/>
              </w:rPr>
            </w:pPr>
            <w:r>
              <w:rPr>
                <w:rFonts w:eastAsia="Times New Roman"/>
                <w:b/>
                <w:bCs/>
                <w:color w:val="000000"/>
                <w:lang w:val="fr-CA" w:eastAsia="en-CA"/>
              </w:rPr>
              <w:t>Fédération française</w:t>
            </w:r>
          </w:p>
        </w:tc>
        <w:tc>
          <w:tcPr>
            <w:tcW w:w="2127" w:type="dxa"/>
            <w:tcBorders>
              <w:top w:val="nil"/>
              <w:left w:val="nil"/>
              <w:bottom w:val="single" w:sz="4" w:space="0" w:color="auto"/>
              <w:right w:val="single" w:sz="4" w:space="0" w:color="auto"/>
            </w:tcBorders>
            <w:shd w:val="clear" w:color="auto" w:fill="auto"/>
            <w:vAlign w:val="center"/>
            <w:hideMark/>
          </w:tcPr>
          <w:p w:rsidR="00DF2526" w:rsidRPr="004735CA" w:rsidRDefault="006808D6" w:rsidP="006578D0">
            <w:pPr>
              <w:rPr>
                <w:rFonts w:eastAsia="Times New Roman"/>
                <w:color w:val="000000"/>
                <w:lang w:val="fr-CA" w:eastAsia="en-CA"/>
              </w:rPr>
            </w:pPr>
            <w:r>
              <w:rPr>
                <w:rFonts w:eastAsia="Times New Roman"/>
                <w:color w:val="000000"/>
                <w:lang w:val="fr-CA" w:eastAsia="en-CA"/>
              </w:rPr>
              <w:t>Année civile</w:t>
            </w:r>
          </w:p>
        </w:tc>
        <w:tc>
          <w:tcPr>
            <w:tcW w:w="6095" w:type="dxa"/>
            <w:tcBorders>
              <w:top w:val="nil"/>
              <w:left w:val="nil"/>
              <w:bottom w:val="single" w:sz="4" w:space="0" w:color="auto"/>
              <w:right w:val="single" w:sz="8" w:space="0" w:color="auto"/>
            </w:tcBorders>
            <w:shd w:val="clear" w:color="auto" w:fill="auto"/>
            <w:vAlign w:val="center"/>
            <w:hideMark/>
          </w:tcPr>
          <w:p w:rsidR="00DF2526" w:rsidRPr="006808D6" w:rsidRDefault="006808D6" w:rsidP="006578D0">
            <w:pPr>
              <w:rPr>
                <w:rFonts w:eastAsia="Times New Roman"/>
                <w:lang w:val="fr-CA" w:eastAsia="en-CA"/>
              </w:rPr>
            </w:pPr>
            <w:r w:rsidRPr="006808D6">
              <w:rPr>
                <w:rFonts w:eastAsia="Times New Roman"/>
                <w:lang w:val="fr-CA" w:eastAsia="en-CA"/>
              </w:rPr>
              <w:t>Un joueur peut jouer dans la catégorie 12 ans et moins jusqu’au 31 décembre de l’année de ses 12 ans.</w:t>
            </w:r>
          </w:p>
        </w:tc>
      </w:tr>
      <w:tr w:rsidR="00DF2526" w:rsidRPr="004735CA" w:rsidTr="006578D0">
        <w:trPr>
          <w:trHeight w:val="432"/>
        </w:trPr>
        <w:tc>
          <w:tcPr>
            <w:tcW w:w="1271" w:type="dxa"/>
            <w:tcBorders>
              <w:top w:val="nil"/>
              <w:left w:val="single" w:sz="8" w:space="0" w:color="auto"/>
              <w:bottom w:val="single" w:sz="4" w:space="0" w:color="auto"/>
              <w:right w:val="single" w:sz="4" w:space="0" w:color="auto"/>
            </w:tcBorders>
            <w:shd w:val="clear" w:color="auto" w:fill="auto"/>
            <w:vAlign w:val="center"/>
            <w:hideMark/>
          </w:tcPr>
          <w:p w:rsidR="00DF2526" w:rsidRPr="004735CA" w:rsidRDefault="00DF2526" w:rsidP="006578D0">
            <w:pPr>
              <w:rPr>
                <w:rFonts w:eastAsia="Times New Roman"/>
                <w:b/>
                <w:bCs/>
                <w:color w:val="000000"/>
                <w:lang w:val="fr-CA" w:eastAsia="en-CA"/>
              </w:rPr>
            </w:pPr>
            <w:r w:rsidRPr="004735CA">
              <w:rPr>
                <w:rFonts w:eastAsia="Times New Roman"/>
                <w:b/>
                <w:bCs/>
                <w:color w:val="000000"/>
                <w:lang w:val="fr-CA" w:eastAsia="en-CA"/>
              </w:rPr>
              <w:t>LTA</w:t>
            </w:r>
          </w:p>
        </w:tc>
        <w:tc>
          <w:tcPr>
            <w:tcW w:w="2127" w:type="dxa"/>
            <w:tcBorders>
              <w:top w:val="nil"/>
              <w:left w:val="nil"/>
              <w:bottom w:val="single" w:sz="4" w:space="0" w:color="auto"/>
              <w:right w:val="single" w:sz="4" w:space="0" w:color="auto"/>
            </w:tcBorders>
            <w:shd w:val="clear" w:color="auto" w:fill="auto"/>
            <w:vAlign w:val="center"/>
            <w:hideMark/>
          </w:tcPr>
          <w:p w:rsidR="00DF2526" w:rsidRPr="00E3299E" w:rsidRDefault="00E3299E" w:rsidP="00E3299E">
            <w:pPr>
              <w:rPr>
                <w:rFonts w:ascii="Courier New" w:eastAsia="Times New Roman" w:hAnsi="Courier New" w:cs="Courier New"/>
                <w:sz w:val="20"/>
                <w:szCs w:val="20"/>
                <w:lang w:eastAsia="en-CA"/>
              </w:rPr>
            </w:pPr>
            <w:r w:rsidRPr="00E3299E">
              <w:rPr>
                <w:rFonts w:eastAsia="Times New Roman"/>
                <w:color w:val="000000"/>
                <w:lang w:val="fr-CA" w:eastAsia="en-CA"/>
              </w:rPr>
              <w:t>Passage à l'année civile à partir de 2019</w:t>
            </w:r>
          </w:p>
        </w:tc>
        <w:tc>
          <w:tcPr>
            <w:tcW w:w="6095" w:type="dxa"/>
            <w:tcBorders>
              <w:top w:val="nil"/>
              <w:left w:val="nil"/>
              <w:bottom w:val="single" w:sz="4" w:space="0" w:color="auto"/>
              <w:right w:val="single" w:sz="8" w:space="0" w:color="auto"/>
            </w:tcBorders>
            <w:shd w:val="clear" w:color="auto" w:fill="auto"/>
            <w:vAlign w:val="center"/>
            <w:hideMark/>
          </w:tcPr>
          <w:p w:rsidR="00DF2526" w:rsidRPr="006808D6" w:rsidRDefault="00E3299E" w:rsidP="006578D0">
            <w:pPr>
              <w:rPr>
                <w:rFonts w:eastAsia="Times New Roman"/>
                <w:lang w:val="fr-CA" w:eastAsia="en-CA"/>
              </w:rPr>
            </w:pPr>
            <w:r w:rsidRPr="006808D6">
              <w:rPr>
                <w:rFonts w:eastAsia="Times New Roman"/>
                <w:lang w:val="fr-CA" w:eastAsia="en-CA"/>
              </w:rPr>
              <w:t>Un joueur peut jouer dans la catégorie 12 ans et moins jusqu’au 31 décembre de l’année de ses 12 ans.</w:t>
            </w:r>
            <w:bookmarkStart w:id="0" w:name="_GoBack"/>
            <w:bookmarkEnd w:id="0"/>
          </w:p>
        </w:tc>
      </w:tr>
      <w:tr w:rsidR="00DF2526" w:rsidRPr="004735CA" w:rsidTr="006578D0">
        <w:trPr>
          <w:trHeight w:val="432"/>
        </w:trPr>
        <w:tc>
          <w:tcPr>
            <w:tcW w:w="1271" w:type="dxa"/>
            <w:tcBorders>
              <w:top w:val="nil"/>
              <w:left w:val="single" w:sz="8" w:space="0" w:color="auto"/>
              <w:bottom w:val="single" w:sz="4" w:space="0" w:color="auto"/>
              <w:right w:val="single" w:sz="4" w:space="0" w:color="auto"/>
            </w:tcBorders>
            <w:shd w:val="clear" w:color="auto" w:fill="auto"/>
            <w:vAlign w:val="center"/>
            <w:hideMark/>
          </w:tcPr>
          <w:p w:rsidR="00DF2526" w:rsidRPr="004735CA" w:rsidRDefault="00DF2526" w:rsidP="006578D0">
            <w:pPr>
              <w:rPr>
                <w:rFonts w:eastAsia="Times New Roman"/>
                <w:b/>
                <w:bCs/>
                <w:color w:val="000000"/>
                <w:lang w:val="fr-CA" w:eastAsia="en-CA"/>
              </w:rPr>
            </w:pPr>
            <w:r w:rsidRPr="004735CA">
              <w:rPr>
                <w:rFonts w:eastAsia="Times New Roman"/>
                <w:b/>
                <w:bCs/>
                <w:color w:val="000000"/>
                <w:lang w:val="fr-CA" w:eastAsia="en-CA"/>
              </w:rPr>
              <w:t>USTA</w:t>
            </w:r>
          </w:p>
        </w:tc>
        <w:tc>
          <w:tcPr>
            <w:tcW w:w="2127" w:type="dxa"/>
            <w:tcBorders>
              <w:top w:val="nil"/>
              <w:left w:val="nil"/>
              <w:bottom w:val="single" w:sz="4" w:space="0" w:color="auto"/>
              <w:right w:val="single" w:sz="4" w:space="0" w:color="auto"/>
            </w:tcBorders>
            <w:shd w:val="clear" w:color="auto" w:fill="auto"/>
            <w:vAlign w:val="center"/>
            <w:hideMark/>
          </w:tcPr>
          <w:p w:rsidR="00DF2526" w:rsidRPr="004735CA" w:rsidRDefault="006808D6" w:rsidP="006578D0">
            <w:pPr>
              <w:rPr>
                <w:rFonts w:eastAsia="Times New Roman"/>
                <w:color w:val="000000"/>
                <w:lang w:val="fr-CA" w:eastAsia="en-CA"/>
              </w:rPr>
            </w:pPr>
            <w:r>
              <w:rPr>
                <w:rFonts w:eastAsia="Times New Roman"/>
                <w:color w:val="000000"/>
                <w:lang w:val="fr-CA" w:eastAsia="en-CA"/>
              </w:rPr>
              <w:t>Par mois</w:t>
            </w:r>
          </w:p>
        </w:tc>
        <w:tc>
          <w:tcPr>
            <w:tcW w:w="6095" w:type="dxa"/>
            <w:tcBorders>
              <w:top w:val="nil"/>
              <w:left w:val="nil"/>
              <w:bottom w:val="single" w:sz="4" w:space="0" w:color="auto"/>
              <w:right w:val="single" w:sz="8" w:space="0" w:color="auto"/>
            </w:tcBorders>
            <w:shd w:val="clear" w:color="auto" w:fill="auto"/>
            <w:vAlign w:val="center"/>
            <w:hideMark/>
          </w:tcPr>
          <w:p w:rsidR="00DF2526" w:rsidRPr="006808D6" w:rsidRDefault="006808D6" w:rsidP="006578D0">
            <w:pPr>
              <w:rPr>
                <w:rFonts w:eastAsia="Times New Roman"/>
                <w:lang w:val="fr-CA" w:eastAsia="en-CA"/>
              </w:rPr>
            </w:pPr>
            <w:r w:rsidRPr="006808D6">
              <w:rPr>
                <w:rFonts w:eastAsia="Times New Roman"/>
                <w:lang w:val="fr-CA" w:eastAsia="en-CA"/>
              </w:rPr>
              <w:t>Un joueur peut jouer dans la catégorie 12 ans et moins jusqu’au mois précédant le mois où il aura 13 ans.</w:t>
            </w:r>
          </w:p>
        </w:tc>
      </w:tr>
      <w:tr w:rsidR="00DF2526" w:rsidRPr="004735CA" w:rsidTr="006578D0">
        <w:trPr>
          <w:trHeight w:val="440"/>
        </w:trPr>
        <w:tc>
          <w:tcPr>
            <w:tcW w:w="1271" w:type="dxa"/>
            <w:tcBorders>
              <w:top w:val="nil"/>
              <w:left w:val="single" w:sz="8" w:space="0" w:color="auto"/>
              <w:bottom w:val="single" w:sz="8" w:space="0" w:color="auto"/>
              <w:right w:val="single" w:sz="4" w:space="0" w:color="auto"/>
            </w:tcBorders>
            <w:shd w:val="clear" w:color="auto" w:fill="auto"/>
            <w:vAlign w:val="center"/>
            <w:hideMark/>
          </w:tcPr>
          <w:p w:rsidR="00DF2526" w:rsidRPr="004735CA" w:rsidRDefault="00DF2526" w:rsidP="006578D0">
            <w:pPr>
              <w:rPr>
                <w:rFonts w:eastAsia="Times New Roman"/>
                <w:b/>
                <w:bCs/>
                <w:color w:val="000000"/>
                <w:lang w:val="fr-CA" w:eastAsia="en-CA"/>
              </w:rPr>
            </w:pPr>
            <w:r w:rsidRPr="004735CA">
              <w:rPr>
                <w:rFonts w:eastAsia="Times New Roman"/>
                <w:b/>
                <w:bCs/>
                <w:color w:val="000000"/>
                <w:lang w:val="fr-CA" w:eastAsia="en-CA"/>
              </w:rPr>
              <w:lastRenderedPageBreak/>
              <w:t>Tennis Australi</w:t>
            </w:r>
            <w:r w:rsidR="006808D6">
              <w:rPr>
                <w:rFonts w:eastAsia="Times New Roman"/>
                <w:b/>
                <w:bCs/>
                <w:color w:val="000000"/>
                <w:lang w:val="fr-CA" w:eastAsia="en-CA"/>
              </w:rPr>
              <w:t>e</w:t>
            </w:r>
          </w:p>
        </w:tc>
        <w:tc>
          <w:tcPr>
            <w:tcW w:w="2127" w:type="dxa"/>
            <w:tcBorders>
              <w:top w:val="nil"/>
              <w:left w:val="nil"/>
              <w:bottom w:val="single" w:sz="8" w:space="0" w:color="auto"/>
              <w:right w:val="single" w:sz="4" w:space="0" w:color="auto"/>
            </w:tcBorders>
            <w:shd w:val="clear" w:color="auto" w:fill="auto"/>
            <w:vAlign w:val="center"/>
            <w:hideMark/>
          </w:tcPr>
          <w:p w:rsidR="00DF2526" w:rsidRPr="004735CA" w:rsidRDefault="006808D6" w:rsidP="006578D0">
            <w:pPr>
              <w:rPr>
                <w:rFonts w:eastAsia="Times New Roman"/>
                <w:color w:val="000000"/>
                <w:lang w:val="fr-CA" w:eastAsia="en-CA"/>
              </w:rPr>
            </w:pPr>
            <w:r>
              <w:rPr>
                <w:rFonts w:eastAsia="Times New Roman"/>
                <w:color w:val="000000"/>
                <w:lang w:val="fr-CA" w:eastAsia="en-CA"/>
              </w:rPr>
              <w:t>Par mois</w:t>
            </w:r>
          </w:p>
        </w:tc>
        <w:tc>
          <w:tcPr>
            <w:tcW w:w="6095" w:type="dxa"/>
            <w:tcBorders>
              <w:top w:val="nil"/>
              <w:left w:val="nil"/>
              <w:bottom w:val="single" w:sz="8" w:space="0" w:color="auto"/>
              <w:right w:val="single" w:sz="8" w:space="0" w:color="auto"/>
            </w:tcBorders>
            <w:shd w:val="clear" w:color="auto" w:fill="auto"/>
            <w:vAlign w:val="center"/>
            <w:hideMark/>
          </w:tcPr>
          <w:p w:rsidR="00DF2526" w:rsidRPr="006808D6" w:rsidRDefault="006808D6" w:rsidP="006578D0">
            <w:pPr>
              <w:rPr>
                <w:rFonts w:eastAsia="Times New Roman"/>
                <w:lang w:val="fr-CA" w:eastAsia="en-CA"/>
              </w:rPr>
            </w:pPr>
            <w:r w:rsidRPr="006808D6">
              <w:rPr>
                <w:rFonts w:eastAsia="Times New Roman"/>
                <w:lang w:val="fr-CA" w:eastAsia="en-CA"/>
              </w:rPr>
              <w:t>Un joueur peut jouer dans la catégorie 12 ans et moins pourvu qu’il n’ait pas atteint l’âge de 13 ans à la fin du mois au cours duquel le tournoi se termine.</w:t>
            </w:r>
          </w:p>
        </w:tc>
      </w:tr>
    </w:tbl>
    <w:p w:rsidR="00F618E5" w:rsidRPr="004735CA" w:rsidRDefault="00F618E5" w:rsidP="00E72BF8">
      <w:pPr>
        <w:rPr>
          <w:b/>
          <w:bCs/>
          <w:u w:val="single"/>
          <w:lang w:val="fr-CA"/>
        </w:rPr>
      </w:pPr>
    </w:p>
    <w:p w:rsidR="002418AA" w:rsidRPr="004735CA" w:rsidRDefault="0057608F" w:rsidP="00E72BF8">
      <w:pPr>
        <w:rPr>
          <w:bCs/>
          <w:lang w:val="fr-CA"/>
        </w:rPr>
      </w:pPr>
      <w:r>
        <w:rPr>
          <w:b/>
          <w:bCs/>
          <w:u w:val="single"/>
          <w:lang w:val="fr-CA"/>
        </w:rPr>
        <w:t>Constatations</w:t>
      </w:r>
      <w:r w:rsidR="009C0710">
        <w:rPr>
          <w:b/>
          <w:bCs/>
          <w:u w:val="single"/>
          <w:lang w:val="fr-CA"/>
        </w:rPr>
        <w:t> </w:t>
      </w:r>
      <w:r w:rsidR="009C23B4" w:rsidRPr="004735CA">
        <w:rPr>
          <w:b/>
          <w:bCs/>
          <w:lang w:val="fr-CA"/>
        </w:rPr>
        <w:t>:</w:t>
      </w:r>
      <w:r w:rsidR="009C23B4" w:rsidRPr="004735CA">
        <w:rPr>
          <w:bCs/>
          <w:lang w:val="fr-CA"/>
        </w:rPr>
        <w:t xml:space="preserve"> </w:t>
      </w:r>
    </w:p>
    <w:p w:rsidR="002418AA" w:rsidRPr="009C0710" w:rsidRDefault="009C0710" w:rsidP="002418AA">
      <w:pPr>
        <w:pStyle w:val="ListParagraph"/>
        <w:numPr>
          <w:ilvl w:val="0"/>
          <w:numId w:val="11"/>
        </w:numPr>
        <w:rPr>
          <w:lang w:val="fr-CA"/>
        </w:rPr>
      </w:pPr>
      <w:r w:rsidRPr="009C0710">
        <w:rPr>
          <w:bCs/>
          <w:lang w:val="fr-CA"/>
        </w:rPr>
        <w:t>Les résultats des joueurs n’ont pas été biaisés en faveur des joueurs nés au cour</w:t>
      </w:r>
      <w:r>
        <w:rPr>
          <w:bCs/>
          <w:lang w:val="fr-CA"/>
        </w:rPr>
        <w:t xml:space="preserve">s de la première moitié de l’année. </w:t>
      </w:r>
      <w:r w:rsidR="002418AA" w:rsidRPr="009C0710">
        <w:rPr>
          <w:bCs/>
          <w:lang w:val="fr-CA"/>
        </w:rPr>
        <w:t xml:space="preserve"> </w:t>
      </w:r>
    </w:p>
    <w:p w:rsidR="002418AA" w:rsidRPr="004735CA" w:rsidRDefault="009C0710" w:rsidP="002418AA">
      <w:pPr>
        <w:pStyle w:val="ListParagraph"/>
        <w:numPr>
          <w:ilvl w:val="0"/>
          <w:numId w:val="11"/>
        </w:numPr>
        <w:rPr>
          <w:lang w:val="fr-CA"/>
        </w:rPr>
      </w:pPr>
      <w:r w:rsidRPr="009C0710">
        <w:rPr>
          <w:bCs/>
          <w:lang w:val="fr-CA"/>
        </w:rPr>
        <w:t>Les joueurs qui ont abandonné la compétition ont été répartis plus ou moins également entre les trimestres</w:t>
      </w:r>
      <w:r w:rsidR="002418AA" w:rsidRPr="004735CA">
        <w:rPr>
          <w:bCs/>
          <w:lang w:val="fr-CA"/>
        </w:rPr>
        <w:t xml:space="preserve">. </w:t>
      </w:r>
    </w:p>
    <w:p w:rsidR="00560ED6" w:rsidRPr="009C0710" w:rsidRDefault="009C0710" w:rsidP="002418AA">
      <w:pPr>
        <w:pStyle w:val="ListParagraph"/>
        <w:numPr>
          <w:ilvl w:val="0"/>
          <w:numId w:val="11"/>
        </w:numPr>
        <w:spacing w:line="259" w:lineRule="auto"/>
        <w:rPr>
          <w:b/>
          <w:bCs/>
          <w:i/>
          <w:u w:val="single"/>
          <w:lang w:val="fr-CA"/>
        </w:rPr>
      </w:pPr>
      <w:r w:rsidRPr="009C0710">
        <w:rPr>
          <w:bCs/>
          <w:lang w:val="fr-CA"/>
        </w:rPr>
        <w:t>Notre taux global de rétention était élevé et il n’y avait pas de disparité entre les joueurs nés au premier trimestre et ceux nés au dernier trimestre</w:t>
      </w:r>
      <w:r w:rsidR="000F178B" w:rsidRPr="009C0710">
        <w:rPr>
          <w:bCs/>
          <w:lang w:val="fr-CA"/>
        </w:rPr>
        <w:t xml:space="preserve">. </w:t>
      </w:r>
    </w:p>
    <w:p w:rsidR="00CD029E" w:rsidRPr="009C0710" w:rsidRDefault="009C0710" w:rsidP="006D6B16">
      <w:pPr>
        <w:pStyle w:val="ListParagraph"/>
        <w:numPr>
          <w:ilvl w:val="0"/>
          <w:numId w:val="11"/>
        </w:numPr>
        <w:spacing w:line="259" w:lineRule="auto"/>
        <w:rPr>
          <w:b/>
          <w:bCs/>
          <w:i/>
          <w:u w:val="single"/>
          <w:lang w:val="fr-CA"/>
        </w:rPr>
      </w:pPr>
      <w:r w:rsidRPr="009C0710">
        <w:rPr>
          <w:bCs/>
          <w:lang w:val="fr-CA"/>
        </w:rPr>
        <w:t>Les autres sports canadiens de premier plan, comme le hockey, le soccer, le baseball et le basketball, adoptent également une politique basée sur l’année civile pour les compétitions chez les juniors</w:t>
      </w:r>
      <w:r w:rsidR="00560ED6" w:rsidRPr="009C0710">
        <w:rPr>
          <w:bCs/>
          <w:lang w:val="fr-CA"/>
        </w:rPr>
        <w:t xml:space="preserve">. </w:t>
      </w:r>
    </w:p>
    <w:p w:rsidR="00E64CE3" w:rsidRPr="004735CA" w:rsidRDefault="00E64CE3" w:rsidP="00DF2526">
      <w:pPr>
        <w:spacing w:line="259" w:lineRule="auto"/>
        <w:rPr>
          <w:bCs/>
          <w:lang w:val="fr-CA"/>
        </w:rPr>
      </w:pPr>
    </w:p>
    <w:p w:rsidR="00DF2526" w:rsidRPr="009C0710" w:rsidRDefault="009C0710" w:rsidP="00DF2526">
      <w:pPr>
        <w:spacing w:line="259" w:lineRule="auto"/>
        <w:rPr>
          <w:b/>
          <w:bCs/>
          <w:i/>
          <w:u w:val="single"/>
          <w:lang w:val="fr-CA"/>
        </w:rPr>
      </w:pPr>
      <w:r w:rsidRPr="009C0710">
        <w:rPr>
          <w:bCs/>
          <w:lang w:val="fr-CA"/>
        </w:rPr>
        <w:t xml:space="preserve">En </w:t>
      </w:r>
      <w:r>
        <w:rPr>
          <w:bCs/>
          <w:lang w:val="fr-CA"/>
        </w:rPr>
        <w:t>nous</w:t>
      </w:r>
      <w:r w:rsidRPr="009C0710">
        <w:rPr>
          <w:bCs/>
          <w:lang w:val="fr-CA"/>
        </w:rPr>
        <w:t xml:space="preserve"> basant sur la recherche effectuée, nous estimons que la politique actuelle de l’admissibilité </w:t>
      </w:r>
      <w:r>
        <w:rPr>
          <w:bCs/>
          <w:lang w:val="fr-CA"/>
        </w:rPr>
        <w:t xml:space="preserve">dans les catégories d’âge </w:t>
      </w:r>
      <w:r w:rsidRPr="009C0710">
        <w:rPr>
          <w:bCs/>
          <w:lang w:val="fr-CA"/>
        </w:rPr>
        <w:t>selon l’année civile pou</w:t>
      </w:r>
      <w:r>
        <w:rPr>
          <w:bCs/>
          <w:lang w:val="fr-CA"/>
        </w:rPr>
        <w:t xml:space="preserve">r les tournois de tennis nationaux et provinciaux sanctionnés est appropriée et répond aux besoins de la scène canadienne de compétition. </w:t>
      </w:r>
      <w:r w:rsidR="00E64CE3" w:rsidRPr="009C0710">
        <w:rPr>
          <w:bCs/>
          <w:lang w:val="fr-CA"/>
        </w:rPr>
        <w:t xml:space="preserve"> </w:t>
      </w:r>
    </w:p>
    <w:sectPr w:rsidR="00DF2526" w:rsidRPr="009C0710" w:rsidSect="00A87A5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478" w:rsidRDefault="009E6478" w:rsidP="009C0710">
      <w:r>
        <w:separator/>
      </w:r>
    </w:p>
  </w:endnote>
  <w:endnote w:type="continuationSeparator" w:id="0">
    <w:p w:rsidR="009E6478" w:rsidRDefault="009E6478" w:rsidP="009C0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478" w:rsidRDefault="009E6478" w:rsidP="009C0710">
      <w:r>
        <w:separator/>
      </w:r>
    </w:p>
  </w:footnote>
  <w:footnote w:type="continuationSeparator" w:id="0">
    <w:p w:rsidR="009E6478" w:rsidRDefault="009E6478" w:rsidP="009C0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83593"/>
    <w:multiLevelType w:val="hybridMultilevel"/>
    <w:tmpl w:val="10CCE246"/>
    <w:lvl w:ilvl="0" w:tplc="527A99DA">
      <w:start w:val="2"/>
      <w:numFmt w:val="decimal"/>
      <w:lvlText w:val="%1."/>
      <w:lvlJc w:val="left"/>
      <w:pPr>
        <w:tabs>
          <w:tab w:val="num" w:pos="720"/>
        </w:tabs>
        <w:ind w:left="720" w:hanging="360"/>
      </w:pPr>
    </w:lvl>
    <w:lvl w:ilvl="1" w:tplc="EAD21F0A" w:tentative="1">
      <w:start w:val="1"/>
      <w:numFmt w:val="decimal"/>
      <w:lvlText w:val="%2."/>
      <w:lvlJc w:val="left"/>
      <w:pPr>
        <w:tabs>
          <w:tab w:val="num" w:pos="1440"/>
        </w:tabs>
        <w:ind w:left="1440" w:hanging="360"/>
      </w:pPr>
    </w:lvl>
    <w:lvl w:ilvl="2" w:tplc="47A4D34E" w:tentative="1">
      <w:start w:val="1"/>
      <w:numFmt w:val="decimal"/>
      <w:lvlText w:val="%3."/>
      <w:lvlJc w:val="left"/>
      <w:pPr>
        <w:tabs>
          <w:tab w:val="num" w:pos="2160"/>
        </w:tabs>
        <w:ind w:left="2160" w:hanging="360"/>
      </w:pPr>
    </w:lvl>
    <w:lvl w:ilvl="3" w:tplc="F8F09152" w:tentative="1">
      <w:start w:val="1"/>
      <w:numFmt w:val="decimal"/>
      <w:lvlText w:val="%4."/>
      <w:lvlJc w:val="left"/>
      <w:pPr>
        <w:tabs>
          <w:tab w:val="num" w:pos="2880"/>
        </w:tabs>
        <w:ind w:left="2880" w:hanging="360"/>
      </w:pPr>
    </w:lvl>
    <w:lvl w:ilvl="4" w:tplc="631E02DA" w:tentative="1">
      <w:start w:val="1"/>
      <w:numFmt w:val="decimal"/>
      <w:lvlText w:val="%5."/>
      <w:lvlJc w:val="left"/>
      <w:pPr>
        <w:tabs>
          <w:tab w:val="num" w:pos="3600"/>
        </w:tabs>
        <w:ind w:left="3600" w:hanging="360"/>
      </w:pPr>
    </w:lvl>
    <w:lvl w:ilvl="5" w:tplc="C39CDC50" w:tentative="1">
      <w:start w:val="1"/>
      <w:numFmt w:val="decimal"/>
      <w:lvlText w:val="%6."/>
      <w:lvlJc w:val="left"/>
      <w:pPr>
        <w:tabs>
          <w:tab w:val="num" w:pos="4320"/>
        </w:tabs>
        <w:ind w:left="4320" w:hanging="360"/>
      </w:pPr>
    </w:lvl>
    <w:lvl w:ilvl="6" w:tplc="A4ACD748" w:tentative="1">
      <w:start w:val="1"/>
      <w:numFmt w:val="decimal"/>
      <w:lvlText w:val="%7."/>
      <w:lvlJc w:val="left"/>
      <w:pPr>
        <w:tabs>
          <w:tab w:val="num" w:pos="5040"/>
        </w:tabs>
        <w:ind w:left="5040" w:hanging="360"/>
      </w:pPr>
    </w:lvl>
    <w:lvl w:ilvl="7" w:tplc="5D80814C" w:tentative="1">
      <w:start w:val="1"/>
      <w:numFmt w:val="decimal"/>
      <w:lvlText w:val="%8."/>
      <w:lvlJc w:val="left"/>
      <w:pPr>
        <w:tabs>
          <w:tab w:val="num" w:pos="5760"/>
        </w:tabs>
        <w:ind w:left="5760" w:hanging="360"/>
      </w:pPr>
    </w:lvl>
    <w:lvl w:ilvl="8" w:tplc="CE448DC4" w:tentative="1">
      <w:start w:val="1"/>
      <w:numFmt w:val="decimal"/>
      <w:lvlText w:val="%9."/>
      <w:lvlJc w:val="left"/>
      <w:pPr>
        <w:tabs>
          <w:tab w:val="num" w:pos="6480"/>
        </w:tabs>
        <w:ind w:left="6480" w:hanging="360"/>
      </w:pPr>
    </w:lvl>
  </w:abstractNum>
  <w:abstractNum w:abstractNumId="1" w15:restartNumberingAfterBreak="0">
    <w:nsid w:val="1387456E"/>
    <w:multiLevelType w:val="hybridMultilevel"/>
    <w:tmpl w:val="8F74E6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24313CD"/>
    <w:multiLevelType w:val="hybridMultilevel"/>
    <w:tmpl w:val="8F74E6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5D64471"/>
    <w:multiLevelType w:val="hybridMultilevel"/>
    <w:tmpl w:val="BEECFDEC"/>
    <w:lvl w:ilvl="0" w:tplc="372E36E8">
      <w:start w:val="1"/>
      <w:numFmt w:val="bullet"/>
      <w:lvlText w:val=""/>
      <w:lvlJc w:val="left"/>
      <w:pPr>
        <w:ind w:left="720" w:hanging="360"/>
      </w:pPr>
      <w:rPr>
        <w:rFonts w:ascii="Wingdings" w:eastAsia="Calibri"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F0330CF"/>
    <w:multiLevelType w:val="hybridMultilevel"/>
    <w:tmpl w:val="1A7EA36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391354D0"/>
    <w:multiLevelType w:val="hybridMultilevel"/>
    <w:tmpl w:val="FCD89AF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3B420B67"/>
    <w:multiLevelType w:val="hybridMultilevel"/>
    <w:tmpl w:val="1A7EA36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43D45B2E"/>
    <w:multiLevelType w:val="hybridMultilevel"/>
    <w:tmpl w:val="569AADE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86027B9"/>
    <w:multiLevelType w:val="hybridMultilevel"/>
    <w:tmpl w:val="413AA48E"/>
    <w:lvl w:ilvl="0" w:tplc="4B4AC106">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D4B4354"/>
    <w:multiLevelType w:val="hybridMultilevel"/>
    <w:tmpl w:val="600E90A2"/>
    <w:lvl w:ilvl="0" w:tplc="FCF4C5A8">
      <w:start w:val="1"/>
      <w:numFmt w:val="bullet"/>
      <w:lvlText w:val=""/>
      <w:lvlJc w:val="left"/>
      <w:pPr>
        <w:ind w:left="720" w:hanging="360"/>
      </w:pPr>
      <w:rPr>
        <w:rFonts w:ascii="Wingdings" w:eastAsia="Calibri"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763C3DFA"/>
    <w:multiLevelType w:val="hybridMultilevel"/>
    <w:tmpl w:val="18DC2B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4"/>
  </w:num>
  <w:num w:numId="8">
    <w:abstractNumId w:val="6"/>
  </w:num>
  <w:num w:numId="9">
    <w:abstractNumId w:val="2"/>
  </w:num>
  <w:num w:numId="10">
    <w:abstractNumId w:val="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32E"/>
    <w:rsid w:val="0000234C"/>
    <w:rsid w:val="0001002D"/>
    <w:rsid w:val="00094935"/>
    <w:rsid w:val="000C4351"/>
    <w:rsid w:val="000F178B"/>
    <w:rsid w:val="001107DB"/>
    <w:rsid w:val="0011084E"/>
    <w:rsid w:val="0011232E"/>
    <w:rsid w:val="0015376E"/>
    <w:rsid w:val="00165920"/>
    <w:rsid w:val="001A1342"/>
    <w:rsid w:val="001A1473"/>
    <w:rsid w:val="00200F8F"/>
    <w:rsid w:val="002106D6"/>
    <w:rsid w:val="0024171D"/>
    <w:rsid w:val="002418AA"/>
    <w:rsid w:val="00277861"/>
    <w:rsid w:val="00287ADA"/>
    <w:rsid w:val="002C75E0"/>
    <w:rsid w:val="0032131D"/>
    <w:rsid w:val="003611BD"/>
    <w:rsid w:val="00365596"/>
    <w:rsid w:val="003A1D49"/>
    <w:rsid w:val="003B12BF"/>
    <w:rsid w:val="003B73EC"/>
    <w:rsid w:val="00425A30"/>
    <w:rsid w:val="00443217"/>
    <w:rsid w:val="0045287C"/>
    <w:rsid w:val="004735CA"/>
    <w:rsid w:val="00491EB5"/>
    <w:rsid w:val="004F0443"/>
    <w:rsid w:val="00506896"/>
    <w:rsid w:val="00560ED6"/>
    <w:rsid w:val="00561255"/>
    <w:rsid w:val="005742EF"/>
    <w:rsid w:val="0057608F"/>
    <w:rsid w:val="005C6164"/>
    <w:rsid w:val="005E045A"/>
    <w:rsid w:val="00613405"/>
    <w:rsid w:val="00624742"/>
    <w:rsid w:val="006255D3"/>
    <w:rsid w:val="00647E9C"/>
    <w:rsid w:val="006808D6"/>
    <w:rsid w:val="00690B36"/>
    <w:rsid w:val="006F17AB"/>
    <w:rsid w:val="00712FE4"/>
    <w:rsid w:val="007312D7"/>
    <w:rsid w:val="007471DD"/>
    <w:rsid w:val="0077396C"/>
    <w:rsid w:val="008115BC"/>
    <w:rsid w:val="00826D6C"/>
    <w:rsid w:val="0086229C"/>
    <w:rsid w:val="008A2E6F"/>
    <w:rsid w:val="008A77CB"/>
    <w:rsid w:val="00975F74"/>
    <w:rsid w:val="009872C5"/>
    <w:rsid w:val="00992980"/>
    <w:rsid w:val="009959A8"/>
    <w:rsid w:val="00997B1F"/>
    <w:rsid w:val="009C0710"/>
    <w:rsid w:val="009C23B4"/>
    <w:rsid w:val="009D5FEE"/>
    <w:rsid w:val="009E606B"/>
    <w:rsid w:val="009E6478"/>
    <w:rsid w:val="009F15A7"/>
    <w:rsid w:val="009F792A"/>
    <w:rsid w:val="00A004CD"/>
    <w:rsid w:val="00A46C4C"/>
    <w:rsid w:val="00A5324C"/>
    <w:rsid w:val="00A87A58"/>
    <w:rsid w:val="00AE3F2B"/>
    <w:rsid w:val="00AE58CB"/>
    <w:rsid w:val="00B107F3"/>
    <w:rsid w:val="00B24A98"/>
    <w:rsid w:val="00B27BEF"/>
    <w:rsid w:val="00B33454"/>
    <w:rsid w:val="00B405B1"/>
    <w:rsid w:val="00B679B0"/>
    <w:rsid w:val="00B91500"/>
    <w:rsid w:val="00B94DEE"/>
    <w:rsid w:val="00BE0498"/>
    <w:rsid w:val="00C044E0"/>
    <w:rsid w:val="00C149C4"/>
    <w:rsid w:val="00C75F17"/>
    <w:rsid w:val="00CD029E"/>
    <w:rsid w:val="00D34A3E"/>
    <w:rsid w:val="00D62766"/>
    <w:rsid w:val="00D77795"/>
    <w:rsid w:val="00D86256"/>
    <w:rsid w:val="00D86DDF"/>
    <w:rsid w:val="00DA6D47"/>
    <w:rsid w:val="00DE4D4A"/>
    <w:rsid w:val="00DF2526"/>
    <w:rsid w:val="00E3299E"/>
    <w:rsid w:val="00E33C14"/>
    <w:rsid w:val="00E64CE3"/>
    <w:rsid w:val="00E72BF8"/>
    <w:rsid w:val="00E83DB5"/>
    <w:rsid w:val="00F22E65"/>
    <w:rsid w:val="00F34C2A"/>
    <w:rsid w:val="00F43794"/>
    <w:rsid w:val="00F618E5"/>
    <w:rsid w:val="00F65A80"/>
    <w:rsid w:val="00FB705C"/>
    <w:rsid w:val="00FC6FBA"/>
    <w:rsid w:val="00FD4F32"/>
    <w:rsid w:val="00FE366E"/>
    <w:rsid w:val="00FF06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EF46D"/>
  <w15:chartTrackingRefBased/>
  <w15:docId w15:val="{7B82F87B-3894-41A2-A97A-405788BF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49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498"/>
    <w:pPr>
      <w:spacing w:after="160" w:line="252" w:lineRule="auto"/>
      <w:ind w:left="720"/>
      <w:contextualSpacing/>
    </w:pPr>
  </w:style>
  <w:style w:type="table" w:styleId="TableGrid">
    <w:name w:val="Table Grid"/>
    <w:basedOn w:val="TableNormal"/>
    <w:uiPriority w:val="39"/>
    <w:rsid w:val="00241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376E"/>
    <w:rPr>
      <w:color w:val="0563C1" w:themeColor="hyperlink"/>
      <w:u w:val="single"/>
    </w:rPr>
  </w:style>
  <w:style w:type="paragraph" w:styleId="BalloonText">
    <w:name w:val="Balloon Text"/>
    <w:basedOn w:val="Normal"/>
    <w:link w:val="BalloonTextChar"/>
    <w:uiPriority w:val="99"/>
    <w:semiHidden/>
    <w:unhideWhenUsed/>
    <w:rsid w:val="000F17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78B"/>
    <w:rPr>
      <w:rFonts w:ascii="Segoe UI" w:hAnsi="Segoe UI" w:cs="Segoe UI"/>
      <w:sz w:val="18"/>
      <w:szCs w:val="18"/>
    </w:rPr>
  </w:style>
  <w:style w:type="paragraph" w:styleId="Header">
    <w:name w:val="header"/>
    <w:basedOn w:val="Normal"/>
    <w:link w:val="HeaderChar"/>
    <w:uiPriority w:val="99"/>
    <w:unhideWhenUsed/>
    <w:rsid w:val="009C0710"/>
    <w:pPr>
      <w:tabs>
        <w:tab w:val="center" w:pos="4320"/>
        <w:tab w:val="right" w:pos="8640"/>
      </w:tabs>
    </w:pPr>
  </w:style>
  <w:style w:type="character" w:customStyle="1" w:styleId="HeaderChar">
    <w:name w:val="Header Char"/>
    <w:basedOn w:val="DefaultParagraphFont"/>
    <w:link w:val="Header"/>
    <w:uiPriority w:val="99"/>
    <w:rsid w:val="009C0710"/>
    <w:rPr>
      <w:rFonts w:ascii="Calibri" w:hAnsi="Calibri" w:cs="Times New Roman"/>
    </w:rPr>
  </w:style>
  <w:style w:type="paragraph" w:styleId="Footer">
    <w:name w:val="footer"/>
    <w:basedOn w:val="Normal"/>
    <w:link w:val="FooterChar"/>
    <w:uiPriority w:val="99"/>
    <w:unhideWhenUsed/>
    <w:rsid w:val="009C0710"/>
    <w:pPr>
      <w:tabs>
        <w:tab w:val="center" w:pos="4320"/>
        <w:tab w:val="right" w:pos="8640"/>
      </w:tabs>
    </w:pPr>
  </w:style>
  <w:style w:type="character" w:customStyle="1" w:styleId="FooterChar">
    <w:name w:val="Footer Char"/>
    <w:basedOn w:val="DefaultParagraphFont"/>
    <w:link w:val="Footer"/>
    <w:uiPriority w:val="99"/>
    <w:rsid w:val="009C0710"/>
    <w:rPr>
      <w:rFonts w:ascii="Calibri" w:hAnsi="Calibri" w:cs="Times New Roman"/>
    </w:rPr>
  </w:style>
  <w:style w:type="paragraph" w:styleId="HTMLPreformatted">
    <w:name w:val="HTML Preformatted"/>
    <w:basedOn w:val="Normal"/>
    <w:link w:val="HTMLPreformattedChar"/>
    <w:uiPriority w:val="99"/>
    <w:semiHidden/>
    <w:unhideWhenUsed/>
    <w:rsid w:val="00E32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E3299E"/>
    <w:rPr>
      <w:rFonts w:ascii="Courier New" w:eastAsia="Times New Roman" w:hAnsi="Courier New" w:cs="Courier New"/>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9107">
      <w:bodyDiv w:val="1"/>
      <w:marLeft w:val="0"/>
      <w:marRight w:val="0"/>
      <w:marTop w:val="0"/>
      <w:marBottom w:val="0"/>
      <w:divBdr>
        <w:top w:val="none" w:sz="0" w:space="0" w:color="auto"/>
        <w:left w:val="none" w:sz="0" w:space="0" w:color="auto"/>
        <w:bottom w:val="none" w:sz="0" w:space="0" w:color="auto"/>
        <w:right w:val="none" w:sz="0" w:space="0" w:color="auto"/>
      </w:divBdr>
    </w:div>
    <w:div w:id="322126658">
      <w:bodyDiv w:val="1"/>
      <w:marLeft w:val="0"/>
      <w:marRight w:val="0"/>
      <w:marTop w:val="0"/>
      <w:marBottom w:val="0"/>
      <w:divBdr>
        <w:top w:val="none" w:sz="0" w:space="0" w:color="auto"/>
        <w:left w:val="none" w:sz="0" w:space="0" w:color="auto"/>
        <w:bottom w:val="none" w:sz="0" w:space="0" w:color="auto"/>
        <w:right w:val="none" w:sz="0" w:space="0" w:color="auto"/>
      </w:divBdr>
    </w:div>
    <w:div w:id="383456531">
      <w:bodyDiv w:val="1"/>
      <w:marLeft w:val="0"/>
      <w:marRight w:val="0"/>
      <w:marTop w:val="0"/>
      <w:marBottom w:val="0"/>
      <w:divBdr>
        <w:top w:val="none" w:sz="0" w:space="0" w:color="auto"/>
        <w:left w:val="none" w:sz="0" w:space="0" w:color="auto"/>
        <w:bottom w:val="none" w:sz="0" w:space="0" w:color="auto"/>
        <w:right w:val="none" w:sz="0" w:space="0" w:color="auto"/>
      </w:divBdr>
    </w:div>
    <w:div w:id="437259843">
      <w:bodyDiv w:val="1"/>
      <w:marLeft w:val="0"/>
      <w:marRight w:val="0"/>
      <w:marTop w:val="0"/>
      <w:marBottom w:val="0"/>
      <w:divBdr>
        <w:top w:val="none" w:sz="0" w:space="0" w:color="auto"/>
        <w:left w:val="none" w:sz="0" w:space="0" w:color="auto"/>
        <w:bottom w:val="none" w:sz="0" w:space="0" w:color="auto"/>
        <w:right w:val="none" w:sz="0" w:space="0" w:color="auto"/>
      </w:divBdr>
    </w:div>
    <w:div w:id="517041758">
      <w:bodyDiv w:val="1"/>
      <w:marLeft w:val="0"/>
      <w:marRight w:val="0"/>
      <w:marTop w:val="0"/>
      <w:marBottom w:val="0"/>
      <w:divBdr>
        <w:top w:val="none" w:sz="0" w:space="0" w:color="auto"/>
        <w:left w:val="none" w:sz="0" w:space="0" w:color="auto"/>
        <w:bottom w:val="none" w:sz="0" w:space="0" w:color="auto"/>
        <w:right w:val="none" w:sz="0" w:space="0" w:color="auto"/>
      </w:divBdr>
    </w:div>
    <w:div w:id="560167351">
      <w:bodyDiv w:val="1"/>
      <w:marLeft w:val="0"/>
      <w:marRight w:val="0"/>
      <w:marTop w:val="0"/>
      <w:marBottom w:val="0"/>
      <w:divBdr>
        <w:top w:val="none" w:sz="0" w:space="0" w:color="auto"/>
        <w:left w:val="none" w:sz="0" w:space="0" w:color="auto"/>
        <w:bottom w:val="none" w:sz="0" w:space="0" w:color="auto"/>
        <w:right w:val="none" w:sz="0" w:space="0" w:color="auto"/>
      </w:divBdr>
    </w:div>
    <w:div w:id="642929501">
      <w:bodyDiv w:val="1"/>
      <w:marLeft w:val="0"/>
      <w:marRight w:val="0"/>
      <w:marTop w:val="0"/>
      <w:marBottom w:val="0"/>
      <w:divBdr>
        <w:top w:val="none" w:sz="0" w:space="0" w:color="auto"/>
        <w:left w:val="none" w:sz="0" w:space="0" w:color="auto"/>
        <w:bottom w:val="none" w:sz="0" w:space="0" w:color="auto"/>
        <w:right w:val="none" w:sz="0" w:space="0" w:color="auto"/>
      </w:divBdr>
    </w:div>
    <w:div w:id="673217351">
      <w:bodyDiv w:val="1"/>
      <w:marLeft w:val="0"/>
      <w:marRight w:val="0"/>
      <w:marTop w:val="0"/>
      <w:marBottom w:val="0"/>
      <w:divBdr>
        <w:top w:val="none" w:sz="0" w:space="0" w:color="auto"/>
        <w:left w:val="none" w:sz="0" w:space="0" w:color="auto"/>
        <w:bottom w:val="none" w:sz="0" w:space="0" w:color="auto"/>
        <w:right w:val="none" w:sz="0" w:space="0" w:color="auto"/>
      </w:divBdr>
    </w:div>
    <w:div w:id="759832588">
      <w:bodyDiv w:val="1"/>
      <w:marLeft w:val="0"/>
      <w:marRight w:val="0"/>
      <w:marTop w:val="0"/>
      <w:marBottom w:val="0"/>
      <w:divBdr>
        <w:top w:val="none" w:sz="0" w:space="0" w:color="auto"/>
        <w:left w:val="none" w:sz="0" w:space="0" w:color="auto"/>
        <w:bottom w:val="none" w:sz="0" w:space="0" w:color="auto"/>
        <w:right w:val="none" w:sz="0" w:space="0" w:color="auto"/>
      </w:divBdr>
    </w:div>
    <w:div w:id="776363624">
      <w:bodyDiv w:val="1"/>
      <w:marLeft w:val="0"/>
      <w:marRight w:val="0"/>
      <w:marTop w:val="0"/>
      <w:marBottom w:val="0"/>
      <w:divBdr>
        <w:top w:val="none" w:sz="0" w:space="0" w:color="auto"/>
        <w:left w:val="none" w:sz="0" w:space="0" w:color="auto"/>
        <w:bottom w:val="none" w:sz="0" w:space="0" w:color="auto"/>
        <w:right w:val="none" w:sz="0" w:space="0" w:color="auto"/>
      </w:divBdr>
    </w:div>
    <w:div w:id="842284600">
      <w:bodyDiv w:val="1"/>
      <w:marLeft w:val="0"/>
      <w:marRight w:val="0"/>
      <w:marTop w:val="0"/>
      <w:marBottom w:val="0"/>
      <w:divBdr>
        <w:top w:val="none" w:sz="0" w:space="0" w:color="auto"/>
        <w:left w:val="none" w:sz="0" w:space="0" w:color="auto"/>
        <w:bottom w:val="none" w:sz="0" w:space="0" w:color="auto"/>
        <w:right w:val="none" w:sz="0" w:space="0" w:color="auto"/>
      </w:divBdr>
    </w:div>
    <w:div w:id="866411612">
      <w:bodyDiv w:val="1"/>
      <w:marLeft w:val="0"/>
      <w:marRight w:val="0"/>
      <w:marTop w:val="0"/>
      <w:marBottom w:val="0"/>
      <w:divBdr>
        <w:top w:val="none" w:sz="0" w:space="0" w:color="auto"/>
        <w:left w:val="none" w:sz="0" w:space="0" w:color="auto"/>
        <w:bottom w:val="none" w:sz="0" w:space="0" w:color="auto"/>
        <w:right w:val="none" w:sz="0" w:space="0" w:color="auto"/>
      </w:divBdr>
    </w:div>
    <w:div w:id="914053921">
      <w:bodyDiv w:val="1"/>
      <w:marLeft w:val="0"/>
      <w:marRight w:val="0"/>
      <w:marTop w:val="0"/>
      <w:marBottom w:val="0"/>
      <w:divBdr>
        <w:top w:val="none" w:sz="0" w:space="0" w:color="auto"/>
        <w:left w:val="none" w:sz="0" w:space="0" w:color="auto"/>
        <w:bottom w:val="none" w:sz="0" w:space="0" w:color="auto"/>
        <w:right w:val="none" w:sz="0" w:space="0" w:color="auto"/>
      </w:divBdr>
    </w:div>
    <w:div w:id="970742817">
      <w:bodyDiv w:val="1"/>
      <w:marLeft w:val="0"/>
      <w:marRight w:val="0"/>
      <w:marTop w:val="0"/>
      <w:marBottom w:val="0"/>
      <w:divBdr>
        <w:top w:val="none" w:sz="0" w:space="0" w:color="auto"/>
        <w:left w:val="none" w:sz="0" w:space="0" w:color="auto"/>
        <w:bottom w:val="none" w:sz="0" w:space="0" w:color="auto"/>
        <w:right w:val="none" w:sz="0" w:space="0" w:color="auto"/>
      </w:divBdr>
      <w:divsChild>
        <w:div w:id="1375696178">
          <w:marLeft w:val="547"/>
          <w:marRight w:val="0"/>
          <w:marTop w:val="0"/>
          <w:marBottom w:val="160"/>
          <w:divBdr>
            <w:top w:val="none" w:sz="0" w:space="0" w:color="auto"/>
            <w:left w:val="none" w:sz="0" w:space="0" w:color="auto"/>
            <w:bottom w:val="none" w:sz="0" w:space="0" w:color="auto"/>
            <w:right w:val="none" w:sz="0" w:space="0" w:color="auto"/>
          </w:divBdr>
        </w:div>
      </w:divsChild>
    </w:div>
    <w:div w:id="1094934581">
      <w:bodyDiv w:val="1"/>
      <w:marLeft w:val="0"/>
      <w:marRight w:val="0"/>
      <w:marTop w:val="0"/>
      <w:marBottom w:val="0"/>
      <w:divBdr>
        <w:top w:val="none" w:sz="0" w:space="0" w:color="auto"/>
        <w:left w:val="none" w:sz="0" w:space="0" w:color="auto"/>
        <w:bottom w:val="none" w:sz="0" w:space="0" w:color="auto"/>
        <w:right w:val="none" w:sz="0" w:space="0" w:color="auto"/>
      </w:divBdr>
    </w:div>
    <w:div w:id="1123307151">
      <w:bodyDiv w:val="1"/>
      <w:marLeft w:val="0"/>
      <w:marRight w:val="0"/>
      <w:marTop w:val="0"/>
      <w:marBottom w:val="0"/>
      <w:divBdr>
        <w:top w:val="none" w:sz="0" w:space="0" w:color="auto"/>
        <w:left w:val="none" w:sz="0" w:space="0" w:color="auto"/>
        <w:bottom w:val="none" w:sz="0" w:space="0" w:color="auto"/>
        <w:right w:val="none" w:sz="0" w:space="0" w:color="auto"/>
      </w:divBdr>
    </w:div>
    <w:div w:id="1325235410">
      <w:bodyDiv w:val="1"/>
      <w:marLeft w:val="0"/>
      <w:marRight w:val="0"/>
      <w:marTop w:val="0"/>
      <w:marBottom w:val="0"/>
      <w:divBdr>
        <w:top w:val="none" w:sz="0" w:space="0" w:color="auto"/>
        <w:left w:val="none" w:sz="0" w:space="0" w:color="auto"/>
        <w:bottom w:val="none" w:sz="0" w:space="0" w:color="auto"/>
        <w:right w:val="none" w:sz="0" w:space="0" w:color="auto"/>
      </w:divBdr>
    </w:div>
    <w:div w:id="180993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749</Words>
  <Characters>4275</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 Nath</dc:creator>
  <cp:keywords/>
  <dc:description/>
  <cp:lastModifiedBy>Arun Nath</cp:lastModifiedBy>
  <cp:revision>4</cp:revision>
  <cp:lastPrinted>2018-07-25T20:43:00Z</cp:lastPrinted>
  <dcterms:created xsi:type="dcterms:W3CDTF">2018-07-27T17:06:00Z</dcterms:created>
  <dcterms:modified xsi:type="dcterms:W3CDTF">2018-10-23T13:08:00Z</dcterms:modified>
</cp:coreProperties>
</file>