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498" w:rsidRPr="008115BC" w:rsidRDefault="00365596" w:rsidP="00BE0498">
      <w:pPr>
        <w:jc w:val="center"/>
        <w:rPr>
          <w:b/>
          <w:bCs/>
          <w:sz w:val="32"/>
          <w:szCs w:val="32"/>
          <w:u w:val="single"/>
        </w:rPr>
      </w:pPr>
      <w:r>
        <w:rPr>
          <w:b/>
          <w:bCs/>
          <w:sz w:val="32"/>
          <w:szCs w:val="32"/>
          <w:u w:val="single"/>
        </w:rPr>
        <w:t>AGE GROUP ELIGIBILITY</w:t>
      </w:r>
      <w:r w:rsidR="008115BC">
        <w:rPr>
          <w:b/>
          <w:bCs/>
          <w:sz w:val="32"/>
          <w:szCs w:val="32"/>
          <w:u w:val="single"/>
        </w:rPr>
        <w:t xml:space="preserve"> </w:t>
      </w:r>
      <w:r w:rsidR="008115BC" w:rsidRPr="008115BC">
        <w:rPr>
          <w:b/>
          <w:bCs/>
          <w:i/>
          <w:sz w:val="18"/>
          <w:szCs w:val="18"/>
        </w:rPr>
        <w:t>(</w:t>
      </w:r>
      <w:r w:rsidR="009F15A7">
        <w:rPr>
          <w:b/>
          <w:bCs/>
          <w:i/>
          <w:sz w:val="18"/>
          <w:szCs w:val="18"/>
        </w:rPr>
        <w:t>July</w:t>
      </w:r>
      <w:r w:rsidR="008115BC" w:rsidRPr="008115BC">
        <w:rPr>
          <w:b/>
          <w:bCs/>
          <w:i/>
          <w:sz w:val="18"/>
          <w:szCs w:val="18"/>
        </w:rPr>
        <w:t xml:space="preserve"> 2018)</w:t>
      </w:r>
    </w:p>
    <w:p w:rsidR="00506896" w:rsidRDefault="00506896" w:rsidP="00BE0498">
      <w:pPr>
        <w:rPr>
          <w:b/>
          <w:bCs/>
        </w:rPr>
      </w:pPr>
    </w:p>
    <w:p w:rsidR="00BE0498" w:rsidRPr="00E83DB5" w:rsidRDefault="00506896" w:rsidP="00BE0498">
      <w:pPr>
        <w:rPr>
          <w:bCs/>
        </w:rPr>
      </w:pPr>
      <w:r w:rsidRPr="00E83DB5">
        <w:rPr>
          <w:bCs/>
        </w:rPr>
        <w:t xml:space="preserve">Tennis Canada and </w:t>
      </w:r>
      <w:r w:rsidR="00E83DB5" w:rsidRPr="00E83DB5">
        <w:rPr>
          <w:bCs/>
        </w:rPr>
        <w:t>our Provincial Tennis A</w:t>
      </w:r>
      <w:r w:rsidRPr="00E83DB5">
        <w:rPr>
          <w:bCs/>
        </w:rPr>
        <w:t xml:space="preserve">ssociation </w:t>
      </w:r>
      <w:r w:rsidR="00E83DB5" w:rsidRPr="00E83DB5">
        <w:rPr>
          <w:bCs/>
        </w:rPr>
        <w:t xml:space="preserve">partners </w:t>
      </w:r>
      <w:r w:rsidRPr="00E83DB5">
        <w:rPr>
          <w:bCs/>
        </w:rPr>
        <w:t xml:space="preserve">currently use the calendar year to determine age group eligibility for sanctioned </w:t>
      </w:r>
      <w:r w:rsidR="00287ADA" w:rsidRPr="00E83DB5">
        <w:rPr>
          <w:bCs/>
        </w:rPr>
        <w:t>national and provincial events.  This process has worked very well over the years as it follows the International Tennis Federation (ITF) lead along with the majority of tennis nations.  It also follows the same process used by many leading Canadian sports like hockey, soccer, baseball and basketball.  Despite the above,</w:t>
      </w:r>
      <w:r w:rsidR="00E83DB5" w:rsidRPr="00E83DB5">
        <w:rPr>
          <w:bCs/>
        </w:rPr>
        <w:t xml:space="preserve"> we have been working with our Provincial T</w:t>
      </w:r>
      <w:r w:rsidR="00287ADA" w:rsidRPr="00E83DB5">
        <w:rPr>
          <w:bCs/>
        </w:rPr>
        <w:t xml:space="preserve">ennis </w:t>
      </w:r>
      <w:r w:rsidR="00E83DB5" w:rsidRPr="00E83DB5">
        <w:rPr>
          <w:bCs/>
        </w:rPr>
        <w:t>A</w:t>
      </w:r>
      <w:r w:rsidR="00287ADA" w:rsidRPr="00E83DB5">
        <w:rPr>
          <w:bCs/>
        </w:rPr>
        <w:t xml:space="preserve">ssociation partners to review our current practice for age group eligibility to assess the data available related to date of births and how this relates to player results and </w:t>
      </w:r>
      <w:r w:rsidR="00E64CE3">
        <w:rPr>
          <w:bCs/>
        </w:rPr>
        <w:t xml:space="preserve">the </w:t>
      </w:r>
      <w:r w:rsidR="00287ADA" w:rsidRPr="00E83DB5">
        <w:rPr>
          <w:bCs/>
        </w:rPr>
        <w:t xml:space="preserve">overall retention rates for junior players. </w:t>
      </w:r>
    </w:p>
    <w:p w:rsidR="00506896" w:rsidRDefault="00506896" w:rsidP="006255D3">
      <w:pPr>
        <w:rPr>
          <w:bCs/>
        </w:rPr>
      </w:pPr>
    </w:p>
    <w:p w:rsidR="006255D3" w:rsidRPr="00D77795" w:rsidRDefault="00E83DB5" w:rsidP="006255D3">
      <w:pPr>
        <w:rPr>
          <w:bCs/>
        </w:rPr>
      </w:pPr>
      <w:r>
        <w:rPr>
          <w:bCs/>
        </w:rPr>
        <w:t>With the above in mind,</w:t>
      </w:r>
      <w:r w:rsidR="00287ADA">
        <w:rPr>
          <w:bCs/>
        </w:rPr>
        <w:t xml:space="preserve"> age group</w:t>
      </w:r>
      <w:r w:rsidR="00C75F17">
        <w:rPr>
          <w:bCs/>
        </w:rPr>
        <w:t xml:space="preserve"> eligibility</w:t>
      </w:r>
      <w:r w:rsidR="00365596">
        <w:rPr>
          <w:bCs/>
        </w:rPr>
        <w:t xml:space="preserve"> </w:t>
      </w:r>
      <w:r>
        <w:rPr>
          <w:bCs/>
        </w:rPr>
        <w:t xml:space="preserve">is an important process to keep an eye on as it </w:t>
      </w:r>
      <w:r w:rsidR="00365596">
        <w:rPr>
          <w:bCs/>
        </w:rPr>
        <w:t>de</w:t>
      </w:r>
      <w:r>
        <w:rPr>
          <w:bCs/>
        </w:rPr>
        <w:t>termines</w:t>
      </w:r>
      <w:r w:rsidR="00365596">
        <w:rPr>
          <w:bCs/>
        </w:rPr>
        <w:t xml:space="preserve"> the age group that a junior competitor will compete in. </w:t>
      </w:r>
      <w:r>
        <w:rPr>
          <w:bCs/>
        </w:rPr>
        <w:t xml:space="preserve">  The following is an update on our recent review o</w:t>
      </w:r>
      <w:r w:rsidR="003B12BF">
        <w:rPr>
          <w:bCs/>
        </w:rPr>
        <w:t>f</w:t>
      </w:r>
      <w:r>
        <w:rPr>
          <w:bCs/>
        </w:rPr>
        <w:t xml:space="preserve"> our current practice, process and data related to age group eligibility as it relates to player results and retention rates.  </w:t>
      </w:r>
    </w:p>
    <w:p w:rsidR="00DE4D4A" w:rsidRDefault="00DE4D4A" w:rsidP="00FE366E">
      <w:pPr>
        <w:rPr>
          <w:bCs/>
        </w:rPr>
      </w:pPr>
    </w:p>
    <w:p w:rsidR="00E83DB5" w:rsidRPr="003B12BF" w:rsidRDefault="00E83DB5" w:rsidP="00FE366E">
      <w:pPr>
        <w:rPr>
          <w:bCs/>
          <w:i/>
        </w:rPr>
      </w:pPr>
      <w:r w:rsidRPr="003B12BF">
        <w:rPr>
          <w:bCs/>
          <w:i/>
        </w:rPr>
        <w:t>Background</w:t>
      </w:r>
    </w:p>
    <w:p w:rsidR="005742EF" w:rsidRDefault="00F22E65" w:rsidP="00FE366E">
      <w:pPr>
        <w:rPr>
          <w:bCs/>
        </w:rPr>
      </w:pPr>
      <w:r>
        <w:rPr>
          <w:bCs/>
        </w:rPr>
        <w:t xml:space="preserve">Tennis Canada </w:t>
      </w:r>
      <w:r w:rsidR="00E83DB5">
        <w:rPr>
          <w:bCs/>
        </w:rPr>
        <w:t xml:space="preserve">and our Provincial Tennis Association partners </w:t>
      </w:r>
      <w:r w:rsidR="00561255">
        <w:rPr>
          <w:bCs/>
        </w:rPr>
        <w:t xml:space="preserve">initially looked at this </w:t>
      </w:r>
      <w:r w:rsidR="00E83DB5">
        <w:rPr>
          <w:bCs/>
        </w:rPr>
        <w:t>process</w:t>
      </w:r>
      <w:r w:rsidR="00561255">
        <w:rPr>
          <w:bCs/>
        </w:rPr>
        <w:t xml:space="preserve"> </w:t>
      </w:r>
      <w:r>
        <w:rPr>
          <w:bCs/>
        </w:rPr>
        <w:t xml:space="preserve">during the </w:t>
      </w:r>
      <w:r w:rsidR="00561255">
        <w:rPr>
          <w:bCs/>
        </w:rPr>
        <w:t xml:space="preserve">design </w:t>
      </w:r>
      <w:r>
        <w:rPr>
          <w:bCs/>
        </w:rPr>
        <w:t xml:space="preserve">of the </w:t>
      </w:r>
      <w:r w:rsidR="00561255">
        <w:rPr>
          <w:bCs/>
        </w:rPr>
        <w:t xml:space="preserve">new integrated ranking system implemented in 2014. </w:t>
      </w:r>
      <w:r w:rsidR="000F178B">
        <w:rPr>
          <w:bCs/>
        </w:rPr>
        <w:t>S</w:t>
      </w:r>
      <w:r w:rsidR="000C4351">
        <w:rPr>
          <w:bCs/>
        </w:rPr>
        <w:t>ome international studies have shown that participants who are born earlier in the year have an advantage over those who are born in the later part of the year. This is known as the “Birth Month Effect”. The 2014 analysis indicated that the</w:t>
      </w:r>
      <w:r w:rsidR="004F0443">
        <w:rPr>
          <w:bCs/>
        </w:rPr>
        <w:t xml:space="preserve"> </w:t>
      </w:r>
      <w:r w:rsidR="005742EF">
        <w:rPr>
          <w:bCs/>
        </w:rPr>
        <w:t xml:space="preserve">“Birth Month” </w:t>
      </w:r>
      <w:r w:rsidR="000C4351">
        <w:rPr>
          <w:bCs/>
        </w:rPr>
        <w:t xml:space="preserve">did not have a </w:t>
      </w:r>
      <w:r w:rsidR="00561255">
        <w:rPr>
          <w:bCs/>
        </w:rPr>
        <w:t>negative impact on our players</w:t>
      </w:r>
      <w:r w:rsidR="00DE4D4A">
        <w:rPr>
          <w:bCs/>
        </w:rPr>
        <w:t>.</w:t>
      </w:r>
      <w:r w:rsidR="00E83DB5">
        <w:rPr>
          <w:bCs/>
        </w:rPr>
        <w:t xml:space="preserve">  </w:t>
      </w:r>
      <w:r w:rsidR="00E64CE3">
        <w:rPr>
          <w:bCs/>
        </w:rPr>
        <w:t>I</w:t>
      </w:r>
      <w:r w:rsidR="00E83DB5">
        <w:rPr>
          <w:bCs/>
        </w:rPr>
        <w:t xml:space="preserve">n addition, we looked at our overall pool of players and Canadian conditions that have limited draw sizes and depth for each age group. </w:t>
      </w:r>
      <w:r w:rsidR="00E64CE3">
        <w:rPr>
          <w:bCs/>
        </w:rPr>
        <w:t>B</w:t>
      </w:r>
      <w:r w:rsidR="00DE4D4A">
        <w:rPr>
          <w:bCs/>
        </w:rPr>
        <w:t>ased on the research conducted</w:t>
      </w:r>
      <w:r w:rsidR="00E83DB5">
        <w:rPr>
          <w:bCs/>
        </w:rPr>
        <w:t>, Tennis Canada and the PTAs determined that using</w:t>
      </w:r>
      <w:r w:rsidR="00DE4D4A">
        <w:rPr>
          <w:bCs/>
        </w:rPr>
        <w:t xml:space="preserve"> </w:t>
      </w:r>
      <w:r w:rsidR="000F178B">
        <w:rPr>
          <w:bCs/>
        </w:rPr>
        <w:t>“Calendar Year</w:t>
      </w:r>
      <w:r w:rsidR="00E64CE3">
        <w:rPr>
          <w:bCs/>
        </w:rPr>
        <w:t>”</w:t>
      </w:r>
      <w:r w:rsidR="00E83DB5">
        <w:rPr>
          <w:bCs/>
        </w:rPr>
        <w:t xml:space="preserve"> to determine age group eligibility was the appropriate process for our sport provincially and nationally</w:t>
      </w:r>
      <w:r w:rsidR="00E64CE3">
        <w:rPr>
          <w:bCs/>
        </w:rPr>
        <w:t>.</w:t>
      </w:r>
    </w:p>
    <w:p w:rsidR="00DE4D4A" w:rsidRDefault="00DE4D4A" w:rsidP="00FE366E">
      <w:pPr>
        <w:rPr>
          <w:bCs/>
        </w:rPr>
      </w:pPr>
    </w:p>
    <w:p w:rsidR="005742EF" w:rsidRDefault="00D62766" w:rsidP="00FE366E">
      <w:pPr>
        <w:rPr>
          <w:bCs/>
        </w:rPr>
      </w:pPr>
      <w:r>
        <w:rPr>
          <w:bCs/>
        </w:rPr>
        <w:t>In 2018</w:t>
      </w:r>
      <w:r w:rsidR="00E83DB5">
        <w:rPr>
          <w:bCs/>
        </w:rPr>
        <w:t xml:space="preserve">, we </w:t>
      </w:r>
      <w:r>
        <w:rPr>
          <w:bCs/>
        </w:rPr>
        <w:t>reviewed the</w:t>
      </w:r>
      <w:r w:rsidR="00E83DB5">
        <w:rPr>
          <w:bCs/>
        </w:rPr>
        <w:t xml:space="preserve"> data </w:t>
      </w:r>
      <w:r w:rsidR="0001002D">
        <w:rPr>
          <w:bCs/>
        </w:rPr>
        <w:t>again and</w:t>
      </w:r>
      <w:r w:rsidR="00DF2526">
        <w:rPr>
          <w:bCs/>
        </w:rPr>
        <w:t xml:space="preserve"> more specifically looked at the effect that </w:t>
      </w:r>
      <w:r>
        <w:rPr>
          <w:bCs/>
        </w:rPr>
        <w:t>this</w:t>
      </w:r>
      <w:r w:rsidR="00DF2526">
        <w:rPr>
          <w:bCs/>
        </w:rPr>
        <w:t xml:space="preserve"> has on the performance and results of the players in the Canadian competitive landscape. </w:t>
      </w:r>
    </w:p>
    <w:p w:rsidR="00DF2526" w:rsidRDefault="00DF2526" w:rsidP="00FE366E">
      <w:pPr>
        <w:rPr>
          <w:bCs/>
        </w:rPr>
      </w:pPr>
    </w:p>
    <w:p w:rsidR="00DF2526" w:rsidRPr="00165920" w:rsidRDefault="00DF2526" w:rsidP="00FE366E">
      <w:pPr>
        <w:rPr>
          <w:b/>
          <w:bCs/>
        </w:rPr>
      </w:pPr>
      <w:r w:rsidRPr="00165920">
        <w:rPr>
          <w:b/>
          <w:bCs/>
          <w:u w:val="single"/>
        </w:rPr>
        <w:t xml:space="preserve">The latest review </w:t>
      </w:r>
      <w:r w:rsidR="005742EF" w:rsidRPr="00165920">
        <w:rPr>
          <w:b/>
          <w:bCs/>
          <w:u w:val="single"/>
        </w:rPr>
        <w:t>conducted</w:t>
      </w:r>
      <w:r w:rsidRPr="00165920">
        <w:rPr>
          <w:b/>
          <w:bCs/>
          <w:u w:val="single"/>
        </w:rPr>
        <w:t xml:space="preserve"> included the following</w:t>
      </w:r>
      <w:r w:rsidR="009C23B4" w:rsidRPr="00165920">
        <w:rPr>
          <w:b/>
          <w:bCs/>
        </w:rPr>
        <w:t>:</w:t>
      </w:r>
      <w:r w:rsidR="00FE366E" w:rsidRPr="00165920">
        <w:rPr>
          <w:b/>
          <w:bCs/>
        </w:rPr>
        <w:t xml:space="preserve"> </w:t>
      </w:r>
    </w:p>
    <w:p w:rsidR="00C044E0" w:rsidRDefault="00992980" w:rsidP="005742EF">
      <w:pPr>
        <w:pStyle w:val="ListParagraph"/>
        <w:numPr>
          <w:ilvl w:val="0"/>
          <w:numId w:val="9"/>
        </w:numPr>
        <w:rPr>
          <w:bCs/>
        </w:rPr>
      </w:pPr>
      <w:r>
        <w:rPr>
          <w:bCs/>
        </w:rPr>
        <w:t>Analys</w:t>
      </w:r>
      <w:r w:rsidR="00E83DB5">
        <w:rPr>
          <w:bCs/>
        </w:rPr>
        <w:t>is of</w:t>
      </w:r>
      <w:r>
        <w:rPr>
          <w:bCs/>
        </w:rPr>
        <w:t xml:space="preserve"> the Canadian Future Star circuit (U10 competitive circuit) to determine if there is an advantage to the players born in the first half of the year. </w:t>
      </w:r>
    </w:p>
    <w:p w:rsidR="00C149C4" w:rsidRDefault="00C149C4" w:rsidP="005742EF">
      <w:pPr>
        <w:pStyle w:val="ListParagraph"/>
        <w:numPr>
          <w:ilvl w:val="0"/>
          <w:numId w:val="9"/>
        </w:numPr>
        <w:rPr>
          <w:bCs/>
        </w:rPr>
      </w:pPr>
      <w:r>
        <w:rPr>
          <w:bCs/>
        </w:rPr>
        <w:t>Analys</w:t>
      </w:r>
      <w:r w:rsidR="00E83DB5">
        <w:rPr>
          <w:bCs/>
        </w:rPr>
        <w:t>is of</w:t>
      </w:r>
      <w:r>
        <w:rPr>
          <w:bCs/>
        </w:rPr>
        <w:t xml:space="preserve"> the effect that the “Birth Month” has on our players who ar</w:t>
      </w:r>
      <w:r w:rsidR="000F178B">
        <w:rPr>
          <w:bCs/>
        </w:rPr>
        <w:t>e dropping out of the Canadian c</w:t>
      </w:r>
      <w:r>
        <w:rPr>
          <w:bCs/>
        </w:rPr>
        <w:t xml:space="preserve">ompetitive </w:t>
      </w:r>
      <w:r w:rsidR="000F178B">
        <w:rPr>
          <w:bCs/>
        </w:rPr>
        <w:t>l</w:t>
      </w:r>
      <w:r>
        <w:rPr>
          <w:bCs/>
        </w:rPr>
        <w:t xml:space="preserve">andscape. </w:t>
      </w:r>
    </w:p>
    <w:p w:rsidR="000F178B" w:rsidRDefault="00992980" w:rsidP="000B6279">
      <w:pPr>
        <w:pStyle w:val="ListParagraph"/>
        <w:numPr>
          <w:ilvl w:val="0"/>
          <w:numId w:val="9"/>
        </w:numPr>
        <w:rPr>
          <w:bCs/>
        </w:rPr>
      </w:pPr>
      <w:r w:rsidRPr="000F178B">
        <w:rPr>
          <w:bCs/>
        </w:rPr>
        <w:t>Analys</w:t>
      </w:r>
      <w:r w:rsidR="00E83DB5">
        <w:rPr>
          <w:bCs/>
        </w:rPr>
        <w:t>is of</w:t>
      </w:r>
      <w:r w:rsidRPr="000F178B">
        <w:rPr>
          <w:bCs/>
        </w:rPr>
        <w:t xml:space="preserve"> the “Retention Rate” in the Canadian </w:t>
      </w:r>
      <w:r w:rsidR="000F178B" w:rsidRPr="000F178B">
        <w:rPr>
          <w:bCs/>
        </w:rPr>
        <w:t>c</w:t>
      </w:r>
      <w:r w:rsidRPr="000F178B">
        <w:rPr>
          <w:bCs/>
        </w:rPr>
        <w:t xml:space="preserve">ompetitive </w:t>
      </w:r>
      <w:r w:rsidR="000F178B" w:rsidRPr="000F178B">
        <w:rPr>
          <w:bCs/>
        </w:rPr>
        <w:t>l</w:t>
      </w:r>
      <w:r w:rsidRPr="000F178B">
        <w:rPr>
          <w:bCs/>
        </w:rPr>
        <w:t xml:space="preserve">andscape to determine if our current </w:t>
      </w:r>
      <w:r w:rsidR="00C149C4" w:rsidRPr="000F178B">
        <w:rPr>
          <w:bCs/>
        </w:rPr>
        <w:t xml:space="preserve">“Age-Up” </w:t>
      </w:r>
      <w:r w:rsidRPr="000F178B">
        <w:rPr>
          <w:bCs/>
        </w:rPr>
        <w:t xml:space="preserve">policy promotes retention or attrition. </w:t>
      </w:r>
    </w:p>
    <w:p w:rsidR="00F65A80" w:rsidRPr="000F178B" w:rsidRDefault="00DF2526" w:rsidP="000B6279">
      <w:pPr>
        <w:pStyle w:val="ListParagraph"/>
        <w:numPr>
          <w:ilvl w:val="0"/>
          <w:numId w:val="9"/>
        </w:numPr>
        <w:rPr>
          <w:bCs/>
        </w:rPr>
      </w:pPr>
      <w:r w:rsidRPr="000F178B">
        <w:rPr>
          <w:bCs/>
        </w:rPr>
        <w:t xml:space="preserve">Reviewed the </w:t>
      </w:r>
      <w:r w:rsidR="000F178B">
        <w:rPr>
          <w:bCs/>
        </w:rPr>
        <w:t xml:space="preserve">“Age Group Eligibility” </w:t>
      </w:r>
      <w:r w:rsidR="00E83DB5">
        <w:rPr>
          <w:bCs/>
        </w:rPr>
        <w:t>process</w:t>
      </w:r>
      <w:r w:rsidRPr="000F178B">
        <w:rPr>
          <w:bCs/>
        </w:rPr>
        <w:t xml:space="preserve"> followed by other leading sports in Canada</w:t>
      </w:r>
      <w:r w:rsidR="000F178B">
        <w:rPr>
          <w:bCs/>
        </w:rPr>
        <w:t xml:space="preserve"> including </w:t>
      </w:r>
      <w:r w:rsidRPr="000F178B">
        <w:rPr>
          <w:bCs/>
        </w:rPr>
        <w:t>Ice Hockey, Soccer, Baseball and Basketball.</w:t>
      </w:r>
    </w:p>
    <w:p w:rsidR="00DF2526" w:rsidRDefault="00E83DB5" w:rsidP="00DF2526">
      <w:pPr>
        <w:pStyle w:val="ListParagraph"/>
        <w:numPr>
          <w:ilvl w:val="0"/>
          <w:numId w:val="9"/>
        </w:numPr>
        <w:rPr>
          <w:bCs/>
        </w:rPr>
      </w:pPr>
      <w:r>
        <w:rPr>
          <w:bCs/>
        </w:rPr>
        <w:t>Conducted an u</w:t>
      </w:r>
      <w:r w:rsidR="00DF2526" w:rsidRPr="00FE366E">
        <w:rPr>
          <w:bCs/>
        </w:rPr>
        <w:t>nderstand</w:t>
      </w:r>
      <w:r>
        <w:rPr>
          <w:bCs/>
        </w:rPr>
        <w:t>ing of</w:t>
      </w:r>
      <w:r w:rsidR="00DF2526" w:rsidRPr="00FE366E">
        <w:rPr>
          <w:bCs/>
        </w:rPr>
        <w:t xml:space="preserve"> what the other Grand Slam nations and the ITF are</w:t>
      </w:r>
      <w:r>
        <w:rPr>
          <w:bCs/>
        </w:rPr>
        <w:t xml:space="preserve"> doing</w:t>
      </w:r>
      <w:r w:rsidR="00DF2526" w:rsidRPr="00FE366E">
        <w:rPr>
          <w:bCs/>
        </w:rPr>
        <w:t xml:space="preserve">. </w:t>
      </w:r>
    </w:p>
    <w:tbl>
      <w:tblPr>
        <w:tblW w:w="9493" w:type="dxa"/>
        <w:tblInd w:w="987" w:type="dxa"/>
        <w:tblLook w:val="04A0" w:firstRow="1" w:lastRow="0" w:firstColumn="1" w:lastColumn="0" w:noHBand="0" w:noVBand="1"/>
      </w:tblPr>
      <w:tblGrid>
        <w:gridCol w:w="1271"/>
        <w:gridCol w:w="2127"/>
        <w:gridCol w:w="6095"/>
      </w:tblGrid>
      <w:tr w:rsidR="00DF2526" w:rsidRPr="00200F8F" w:rsidTr="006578D0">
        <w:trPr>
          <w:trHeight w:val="143"/>
        </w:trPr>
        <w:tc>
          <w:tcPr>
            <w:tcW w:w="127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F2526" w:rsidRPr="00200F8F" w:rsidRDefault="00DF2526" w:rsidP="006578D0">
            <w:pPr>
              <w:rPr>
                <w:rFonts w:eastAsia="Times New Roman"/>
                <w:b/>
                <w:bCs/>
                <w:color w:val="000000"/>
                <w:lang w:eastAsia="en-CA"/>
              </w:rPr>
            </w:pPr>
            <w:r w:rsidRPr="00200F8F">
              <w:rPr>
                <w:rFonts w:eastAsia="Times New Roman"/>
                <w:b/>
                <w:bCs/>
                <w:color w:val="000000"/>
                <w:lang w:eastAsia="en-CA"/>
              </w:rPr>
              <w:t>Entity</w:t>
            </w:r>
          </w:p>
        </w:tc>
        <w:tc>
          <w:tcPr>
            <w:tcW w:w="2127" w:type="dxa"/>
            <w:tcBorders>
              <w:top w:val="single" w:sz="8" w:space="0" w:color="auto"/>
              <w:left w:val="nil"/>
              <w:bottom w:val="single" w:sz="4" w:space="0" w:color="auto"/>
              <w:right w:val="single" w:sz="4" w:space="0" w:color="auto"/>
            </w:tcBorders>
            <w:shd w:val="clear" w:color="auto" w:fill="auto"/>
            <w:vAlign w:val="center"/>
            <w:hideMark/>
          </w:tcPr>
          <w:p w:rsidR="00DF2526" w:rsidRPr="00200F8F" w:rsidRDefault="00DF2526" w:rsidP="006578D0">
            <w:pPr>
              <w:rPr>
                <w:rFonts w:eastAsia="Times New Roman"/>
                <w:b/>
                <w:bCs/>
                <w:color w:val="000000"/>
                <w:lang w:eastAsia="en-CA"/>
              </w:rPr>
            </w:pPr>
            <w:r w:rsidRPr="00200F8F">
              <w:rPr>
                <w:rFonts w:eastAsia="Times New Roman"/>
                <w:b/>
                <w:bCs/>
                <w:color w:val="000000"/>
                <w:lang w:eastAsia="en-CA"/>
              </w:rPr>
              <w:t>Current Policy</w:t>
            </w:r>
          </w:p>
        </w:tc>
        <w:tc>
          <w:tcPr>
            <w:tcW w:w="6095" w:type="dxa"/>
            <w:tcBorders>
              <w:top w:val="single" w:sz="8" w:space="0" w:color="auto"/>
              <w:left w:val="nil"/>
              <w:bottom w:val="single" w:sz="4" w:space="0" w:color="auto"/>
              <w:right w:val="single" w:sz="8" w:space="0" w:color="auto"/>
            </w:tcBorders>
            <w:shd w:val="clear" w:color="auto" w:fill="auto"/>
            <w:vAlign w:val="center"/>
            <w:hideMark/>
          </w:tcPr>
          <w:p w:rsidR="00DF2526" w:rsidRPr="00200F8F" w:rsidRDefault="00DF2526" w:rsidP="006578D0">
            <w:pPr>
              <w:rPr>
                <w:rFonts w:eastAsia="Times New Roman"/>
                <w:b/>
                <w:bCs/>
                <w:color w:val="000000"/>
                <w:lang w:eastAsia="en-CA"/>
              </w:rPr>
            </w:pPr>
            <w:r w:rsidRPr="00200F8F">
              <w:rPr>
                <w:rFonts w:eastAsia="Times New Roman"/>
                <w:b/>
                <w:bCs/>
                <w:color w:val="000000"/>
                <w:lang w:eastAsia="en-CA"/>
              </w:rPr>
              <w:t>Ex</w:t>
            </w:r>
            <w:r>
              <w:rPr>
                <w:rFonts w:eastAsia="Times New Roman"/>
                <w:b/>
                <w:bCs/>
                <w:color w:val="000000"/>
                <w:lang w:eastAsia="en-CA"/>
              </w:rPr>
              <w:t>ample</w:t>
            </w:r>
          </w:p>
        </w:tc>
      </w:tr>
      <w:tr w:rsidR="00DF2526" w:rsidRPr="00200F8F" w:rsidTr="006578D0">
        <w:trPr>
          <w:trHeight w:val="288"/>
        </w:trPr>
        <w:tc>
          <w:tcPr>
            <w:tcW w:w="1271" w:type="dxa"/>
            <w:tcBorders>
              <w:top w:val="nil"/>
              <w:left w:val="single" w:sz="8" w:space="0" w:color="auto"/>
              <w:bottom w:val="single" w:sz="4" w:space="0" w:color="auto"/>
              <w:right w:val="single" w:sz="4" w:space="0" w:color="auto"/>
            </w:tcBorders>
            <w:shd w:val="clear" w:color="auto" w:fill="auto"/>
            <w:vAlign w:val="center"/>
            <w:hideMark/>
          </w:tcPr>
          <w:p w:rsidR="00DF2526" w:rsidRPr="00200F8F" w:rsidRDefault="00DF2526" w:rsidP="006578D0">
            <w:pPr>
              <w:rPr>
                <w:rFonts w:eastAsia="Times New Roman"/>
                <w:b/>
                <w:bCs/>
                <w:color w:val="000000"/>
                <w:lang w:eastAsia="en-CA"/>
              </w:rPr>
            </w:pPr>
            <w:r w:rsidRPr="00200F8F">
              <w:rPr>
                <w:rFonts w:eastAsia="Times New Roman"/>
                <w:b/>
                <w:bCs/>
                <w:color w:val="000000"/>
                <w:lang w:eastAsia="en-CA"/>
              </w:rPr>
              <w:t>Canada</w:t>
            </w:r>
          </w:p>
        </w:tc>
        <w:tc>
          <w:tcPr>
            <w:tcW w:w="2127" w:type="dxa"/>
            <w:tcBorders>
              <w:top w:val="nil"/>
              <w:left w:val="nil"/>
              <w:bottom w:val="single" w:sz="4" w:space="0" w:color="auto"/>
              <w:right w:val="single" w:sz="4" w:space="0" w:color="auto"/>
            </w:tcBorders>
            <w:shd w:val="clear" w:color="auto" w:fill="auto"/>
            <w:vAlign w:val="center"/>
            <w:hideMark/>
          </w:tcPr>
          <w:p w:rsidR="00DF2526" w:rsidRPr="00200F8F" w:rsidRDefault="00DF2526" w:rsidP="006578D0">
            <w:pPr>
              <w:rPr>
                <w:rFonts w:eastAsia="Times New Roman"/>
                <w:color w:val="000000"/>
                <w:lang w:eastAsia="en-CA"/>
              </w:rPr>
            </w:pPr>
            <w:r w:rsidRPr="00200F8F">
              <w:rPr>
                <w:rFonts w:eastAsia="Times New Roman"/>
                <w:color w:val="000000"/>
                <w:lang w:eastAsia="en-CA"/>
              </w:rPr>
              <w:t>Calendar Year</w:t>
            </w:r>
          </w:p>
        </w:tc>
        <w:tc>
          <w:tcPr>
            <w:tcW w:w="6095" w:type="dxa"/>
            <w:tcBorders>
              <w:top w:val="nil"/>
              <w:left w:val="nil"/>
              <w:bottom w:val="single" w:sz="4" w:space="0" w:color="auto"/>
              <w:right w:val="single" w:sz="8" w:space="0" w:color="auto"/>
            </w:tcBorders>
            <w:shd w:val="clear" w:color="auto" w:fill="auto"/>
            <w:vAlign w:val="center"/>
            <w:hideMark/>
          </w:tcPr>
          <w:p w:rsidR="00DF2526" w:rsidRPr="00200F8F" w:rsidRDefault="00DF2526" w:rsidP="006578D0">
            <w:pPr>
              <w:rPr>
                <w:rFonts w:eastAsia="Times New Roman"/>
                <w:color w:val="000000"/>
                <w:lang w:eastAsia="en-CA"/>
              </w:rPr>
            </w:pPr>
            <w:r w:rsidRPr="00200F8F">
              <w:rPr>
                <w:rFonts w:eastAsia="Times New Roman"/>
                <w:color w:val="000000"/>
                <w:lang w:eastAsia="en-CA"/>
              </w:rPr>
              <w:t>A player can play in the U12 category until 31st Dec of the year that they turn 12 years of age.</w:t>
            </w:r>
          </w:p>
        </w:tc>
      </w:tr>
      <w:tr w:rsidR="00DF2526" w:rsidRPr="00200F8F" w:rsidTr="006578D0">
        <w:trPr>
          <w:trHeight w:val="288"/>
        </w:trPr>
        <w:tc>
          <w:tcPr>
            <w:tcW w:w="1271" w:type="dxa"/>
            <w:tcBorders>
              <w:top w:val="nil"/>
              <w:left w:val="single" w:sz="8" w:space="0" w:color="auto"/>
              <w:bottom w:val="single" w:sz="4" w:space="0" w:color="auto"/>
              <w:right w:val="single" w:sz="4" w:space="0" w:color="auto"/>
            </w:tcBorders>
            <w:shd w:val="clear" w:color="auto" w:fill="auto"/>
            <w:vAlign w:val="center"/>
            <w:hideMark/>
          </w:tcPr>
          <w:p w:rsidR="00DF2526" w:rsidRPr="00200F8F" w:rsidRDefault="00DF2526" w:rsidP="006578D0">
            <w:pPr>
              <w:rPr>
                <w:rFonts w:eastAsia="Times New Roman"/>
                <w:b/>
                <w:bCs/>
                <w:color w:val="000000"/>
                <w:lang w:eastAsia="en-CA"/>
              </w:rPr>
            </w:pPr>
            <w:r w:rsidRPr="00200F8F">
              <w:rPr>
                <w:rFonts w:eastAsia="Times New Roman"/>
                <w:b/>
                <w:bCs/>
                <w:color w:val="000000"/>
                <w:lang w:eastAsia="en-CA"/>
              </w:rPr>
              <w:t>ITF</w:t>
            </w:r>
          </w:p>
        </w:tc>
        <w:tc>
          <w:tcPr>
            <w:tcW w:w="2127" w:type="dxa"/>
            <w:tcBorders>
              <w:top w:val="nil"/>
              <w:left w:val="nil"/>
              <w:bottom w:val="single" w:sz="4" w:space="0" w:color="auto"/>
              <w:right w:val="single" w:sz="4" w:space="0" w:color="auto"/>
            </w:tcBorders>
            <w:shd w:val="clear" w:color="auto" w:fill="auto"/>
            <w:vAlign w:val="center"/>
            <w:hideMark/>
          </w:tcPr>
          <w:p w:rsidR="00DF2526" w:rsidRPr="00200F8F" w:rsidRDefault="00DF2526" w:rsidP="006578D0">
            <w:pPr>
              <w:rPr>
                <w:rFonts w:eastAsia="Times New Roman"/>
                <w:color w:val="000000"/>
                <w:lang w:eastAsia="en-CA"/>
              </w:rPr>
            </w:pPr>
            <w:r w:rsidRPr="00200F8F">
              <w:rPr>
                <w:rFonts w:eastAsia="Times New Roman"/>
                <w:color w:val="000000"/>
                <w:lang w:eastAsia="en-CA"/>
              </w:rPr>
              <w:t>Calendar Year</w:t>
            </w:r>
          </w:p>
        </w:tc>
        <w:tc>
          <w:tcPr>
            <w:tcW w:w="6095" w:type="dxa"/>
            <w:tcBorders>
              <w:top w:val="nil"/>
              <w:left w:val="nil"/>
              <w:bottom w:val="single" w:sz="4" w:space="0" w:color="auto"/>
              <w:right w:val="single" w:sz="8" w:space="0" w:color="auto"/>
            </w:tcBorders>
            <w:shd w:val="clear" w:color="auto" w:fill="auto"/>
            <w:vAlign w:val="center"/>
            <w:hideMark/>
          </w:tcPr>
          <w:p w:rsidR="00DF2526" w:rsidRPr="00200F8F" w:rsidRDefault="00DF2526" w:rsidP="006578D0">
            <w:pPr>
              <w:rPr>
                <w:rFonts w:eastAsia="Times New Roman"/>
                <w:color w:val="000000"/>
                <w:lang w:eastAsia="en-CA"/>
              </w:rPr>
            </w:pPr>
            <w:r w:rsidRPr="00200F8F">
              <w:rPr>
                <w:rFonts w:eastAsia="Times New Roman"/>
                <w:color w:val="000000"/>
                <w:lang w:eastAsia="en-CA"/>
              </w:rPr>
              <w:t>A player can play in the U12 category until 31st Dec of the year that they turn 12 years of age.</w:t>
            </w:r>
          </w:p>
        </w:tc>
      </w:tr>
      <w:tr w:rsidR="00DF2526" w:rsidRPr="00200F8F" w:rsidTr="006578D0">
        <w:trPr>
          <w:trHeight w:val="288"/>
        </w:trPr>
        <w:tc>
          <w:tcPr>
            <w:tcW w:w="1271" w:type="dxa"/>
            <w:tcBorders>
              <w:top w:val="nil"/>
              <w:left w:val="single" w:sz="8" w:space="0" w:color="auto"/>
              <w:bottom w:val="single" w:sz="4" w:space="0" w:color="auto"/>
              <w:right w:val="single" w:sz="4" w:space="0" w:color="auto"/>
            </w:tcBorders>
            <w:shd w:val="clear" w:color="auto" w:fill="auto"/>
            <w:vAlign w:val="center"/>
            <w:hideMark/>
          </w:tcPr>
          <w:p w:rsidR="00DF2526" w:rsidRPr="00200F8F" w:rsidRDefault="00DF2526" w:rsidP="006578D0">
            <w:pPr>
              <w:rPr>
                <w:rFonts w:eastAsia="Times New Roman"/>
                <w:b/>
                <w:bCs/>
                <w:color w:val="000000"/>
                <w:lang w:eastAsia="en-CA"/>
              </w:rPr>
            </w:pPr>
            <w:r w:rsidRPr="00200F8F">
              <w:rPr>
                <w:rFonts w:eastAsia="Times New Roman"/>
                <w:b/>
                <w:bCs/>
                <w:color w:val="000000"/>
                <w:lang w:eastAsia="en-CA"/>
              </w:rPr>
              <w:t>French Federation</w:t>
            </w:r>
          </w:p>
        </w:tc>
        <w:tc>
          <w:tcPr>
            <w:tcW w:w="2127" w:type="dxa"/>
            <w:tcBorders>
              <w:top w:val="nil"/>
              <w:left w:val="nil"/>
              <w:bottom w:val="single" w:sz="4" w:space="0" w:color="auto"/>
              <w:right w:val="single" w:sz="4" w:space="0" w:color="auto"/>
            </w:tcBorders>
            <w:shd w:val="clear" w:color="auto" w:fill="auto"/>
            <w:vAlign w:val="center"/>
            <w:hideMark/>
          </w:tcPr>
          <w:p w:rsidR="00DF2526" w:rsidRPr="00200F8F" w:rsidRDefault="00DF2526" w:rsidP="006578D0">
            <w:pPr>
              <w:rPr>
                <w:rFonts w:eastAsia="Times New Roman"/>
                <w:color w:val="000000"/>
                <w:lang w:eastAsia="en-CA"/>
              </w:rPr>
            </w:pPr>
            <w:r w:rsidRPr="00200F8F">
              <w:rPr>
                <w:rFonts w:eastAsia="Times New Roman"/>
                <w:color w:val="000000"/>
                <w:lang w:eastAsia="en-CA"/>
              </w:rPr>
              <w:t>Calendar Year</w:t>
            </w:r>
          </w:p>
        </w:tc>
        <w:tc>
          <w:tcPr>
            <w:tcW w:w="6095" w:type="dxa"/>
            <w:tcBorders>
              <w:top w:val="nil"/>
              <w:left w:val="nil"/>
              <w:bottom w:val="single" w:sz="4" w:space="0" w:color="auto"/>
              <w:right w:val="single" w:sz="8" w:space="0" w:color="auto"/>
            </w:tcBorders>
            <w:shd w:val="clear" w:color="auto" w:fill="auto"/>
            <w:vAlign w:val="center"/>
            <w:hideMark/>
          </w:tcPr>
          <w:p w:rsidR="00DF2526" w:rsidRPr="00200F8F" w:rsidRDefault="00DF2526" w:rsidP="006578D0">
            <w:pPr>
              <w:rPr>
                <w:rFonts w:eastAsia="Times New Roman"/>
                <w:color w:val="000000"/>
                <w:lang w:eastAsia="en-CA"/>
              </w:rPr>
            </w:pPr>
            <w:r w:rsidRPr="00200F8F">
              <w:rPr>
                <w:rFonts w:eastAsia="Times New Roman"/>
                <w:color w:val="000000"/>
                <w:lang w:eastAsia="en-CA"/>
              </w:rPr>
              <w:t>A player can play in the U12 category until 31st Dec of the year that they turn 12 years of age.</w:t>
            </w:r>
          </w:p>
        </w:tc>
      </w:tr>
      <w:tr w:rsidR="00DF2526" w:rsidRPr="00200F8F" w:rsidTr="006578D0">
        <w:trPr>
          <w:trHeight w:val="432"/>
        </w:trPr>
        <w:tc>
          <w:tcPr>
            <w:tcW w:w="1271" w:type="dxa"/>
            <w:tcBorders>
              <w:top w:val="nil"/>
              <w:left w:val="single" w:sz="8" w:space="0" w:color="auto"/>
              <w:bottom w:val="single" w:sz="4" w:space="0" w:color="auto"/>
              <w:right w:val="single" w:sz="4" w:space="0" w:color="auto"/>
            </w:tcBorders>
            <w:shd w:val="clear" w:color="auto" w:fill="auto"/>
            <w:vAlign w:val="center"/>
            <w:hideMark/>
          </w:tcPr>
          <w:p w:rsidR="00DF2526" w:rsidRPr="00200F8F" w:rsidRDefault="00DF2526" w:rsidP="006578D0">
            <w:pPr>
              <w:rPr>
                <w:rFonts w:eastAsia="Times New Roman"/>
                <w:b/>
                <w:bCs/>
                <w:color w:val="000000"/>
                <w:lang w:eastAsia="en-CA"/>
              </w:rPr>
            </w:pPr>
            <w:r w:rsidRPr="00200F8F">
              <w:rPr>
                <w:rFonts w:eastAsia="Times New Roman"/>
                <w:b/>
                <w:bCs/>
                <w:color w:val="000000"/>
                <w:lang w:eastAsia="en-CA"/>
              </w:rPr>
              <w:t>LTA</w:t>
            </w:r>
          </w:p>
        </w:tc>
        <w:tc>
          <w:tcPr>
            <w:tcW w:w="2127" w:type="dxa"/>
            <w:tcBorders>
              <w:top w:val="nil"/>
              <w:left w:val="nil"/>
              <w:bottom w:val="single" w:sz="4" w:space="0" w:color="auto"/>
              <w:right w:val="single" w:sz="4" w:space="0" w:color="auto"/>
            </w:tcBorders>
            <w:shd w:val="clear" w:color="auto" w:fill="auto"/>
            <w:vAlign w:val="center"/>
            <w:hideMark/>
          </w:tcPr>
          <w:p w:rsidR="00DF2526" w:rsidRPr="00200F8F" w:rsidRDefault="00645445" w:rsidP="006578D0">
            <w:pPr>
              <w:rPr>
                <w:rFonts w:eastAsia="Times New Roman"/>
                <w:color w:val="000000"/>
                <w:lang w:eastAsia="en-CA"/>
              </w:rPr>
            </w:pPr>
            <w:r>
              <w:rPr>
                <w:rFonts w:eastAsia="Times New Roman"/>
                <w:color w:val="000000"/>
                <w:lang w:eastAsia="en-CA"/>
              </w:rPr>
              <w:t xml:space="preserve">Moving to Calendar Year </w:t>
            </w:r>
            <w:r w:rsidR="009473B5">
              <w:rPr>
                <w:rFonts w:eastAsia="Times New Roman"/>
                <w:color w:val="000000"/>
                <w:lang w:eastAsia="en-CA"/>
              </w:rPr>
              <w:t>in</w:t>
            </w:r>
            <w:bookmarkStart w:id="0" w:name="_GoBack"/>
            <w:bookmarkEnd w:id="0"/>
            <w:r>
              <w:rPr>
                <w:rFonts w:eastAsia="Times New Roman"/>
                <w:color w:val="000000"/>
                <w:lang w:eastAsia="en-CA"/>
              </w:rPr>
              <w:t xml:space="preserve"> 2019</w:t>
            </w:r>
          </w:p>
        </w:tc>
        <w:tc>
          <w:tcPr>
            <w:tcW w:w="6095" w:type="dxa"/>
            <w:tcBorders>
              <w:top w:val="nil"/>
              <w:left w:val="nil"/>
              <w:bottom w:val="single" w:sz="4" w:space="0" w:color="auto"/>
              <w:right w:val="single" w:sz="8" w:space="0" w:color="auto"/>
            </w:tcBorders>
            <w:shd w:val="clear" w:color="auto" w:fill="auto"/>
            <w:vAlign w:val="center"/>
            <w:hideMark/>
          </w:tcPr>
          <w:p w:rsidR="00DF2526" w:rsidRPr="00200F8F" w:rsidRDefault="005350EB" w:rsidP="006578D0">
            <w:pPr>
              <w:rPr>
                <w:rFonts w:eastAsia="Times New Roman"/>
                <w:color w:val="000000"/>
                <w:lang w:eastAsia="en-CA"/>
              </w:rPr>
            </w:pPr>
            <w:r w:rsidRPr="00200F8F">
              <w:rPr>
                <w:rFonts w:eastAsia="Times New Roman"/>
                <w:color w:val="000000"/>
                <w:lang w:eastAsia="en-CA"/>
              </w:rPr>
              <w:t>A player can play in the U12 category until 31st Dec of the year that they turn 12 years of age.</w:t>
            </w:r>
          </w:p>
        </w:tc>
      </w:tr>
      <w:tr w:rsidR="00DF2526" w:rsidRPr="00200F8F" w:rsidTr="006578D0">
        <w:trPr>
          <w:trHeight w:val="432"/>
        </w:trPr>
        <w:tc>
          <w:tcPr>
            <w:tcW w:w="1271" w:type="dxa"/>
            <w:tcBorders>
              <w:top w:val="nil"/>
              <w:left w:val="single" w:sz="8" w:space="0" w:color="auto"/>
              <w:bottom w:val="single" w:sz="4" w:space="0" w:color="auto"/>
              <w:right w:val="single" w:sz="4" w:space="0" w:color="auto"/>
            </w:tcBorders>
            <w:shd w:val="clear" w:color="auto" w:fill="auto"/>
            <w:vAlign w:val="center"/>
            <w:hideMark/>
          </w:tcPr>
          <w:p w:rsidR="00DF2526" w:rsidRPr="00200F8F" w:rsidRDefault="00DF2526" w:rsidP="006578D0">
            <w:pPr>
              <w:rPr>
                <w:rFonts w:eastAsia="Times New Roman"/>
                <w:b/>
                <w:bCs/>
                <w:color w:val="000000"/>
                <w:lang w:eastAsia="en-CA"/>
              </w:rPr>
            </w:pPr>
            <w:r w:rsidRPr="00200F8F">
              <w:rPr>
                <w:rFonts w:eastAsia="Times New Roman"/>
                <w:b/>
                <w:bCs/>
                <w:color w:val="000000"/>
                <w:lang w:eastAsia="en-CA"/>
              </w:rPr>
              <w:t>USTA</w:t>
            </w:r>
          </w:p>
        </w:tc>
        <w:tc>
          <w:tcPr>
            <w:tcW w:w="2127" w:type="dxa"/>
            <w:tcBorders>
              <w:top w:val="nil"/>
              <w:left w:val="nil"/>
              <w:bottom w:val="single" w:sz="4" w:space="0" w:color="auto"/>
              <w:right w:val="single" w:sz="4" w:space="0" w:color="auto"/>
            </w:tcBorders>
            <w:shd w:val="clear" w:color="auto" w:fill="auto"/>
            <w:vAlign w:val="center"/>
            <w:hideMark/>
          </w:tcPr>
          <w:p w:rsidR="00DF2526" w:rsidRPr="00200F8F" w:rsidRDefault="00DF2526" w:rsidP="006578D0">
            <w:pPr>
              <w:rPr>
                <w:rFonts w:eastAsia="Times New Roman"/>
                <w:color w:val="000000"/>
                <w:lang w:eastAsia="en-CA"/>
              </w:rPr>
            </w:pPr>
            <w:r w:rsidRPr="00200F8F">
              <w:rPr>
                <w:rFonts w:eastAsia="Times New Roman"/>
                <w:color w:val="000000"/>
                <w:lang w:eastAsia="en-CA"/>
              </w:rPr>
              <w:t>Monthly Age Up</w:t>
            </w:r>
          </w:p>
        </w:tc>
        <w:tc>
          <w:tcPr>
            <w:tcW w:w="6095" w:type="dxa"/>
            <w:tcBorders>
              <w:top w:val="nil"/>
              <w:left w:val="nil"/>
              <w:bottom w:val="single" w:sz="4" w:space="0" w:color="auto"/>
              <w:right w:val="single" w:sz="8" w:space="0" w:color="auto"/>
            </w:tcBorders>
            <w:shd w:val="clear" w:color="auto" w:fill="auto"/>
            <w:vAlign w:val="center"/>
            <w:hideMark/>
          </w:tcPr>
          <w:p w:rsidR="00DF2526" w:rsidRPr="00200F8F" w:rsidRDefault="00DF2526" w:rsidP="006578D0">
            <w:pPr>
              <w:rPr>
                <w:rFonts w:eastAsia="Times New Roman"/>
                <w:color w:val="000000"/>
                <w:lang w:eastAsia="en-CA"/>
              </w:rPr>
            </w:pPr>
            <w:r w:rsidRPr="00200F8F">
              <w:rPr>
                <w:rFonts w:eastAsia="Times New Roman"/>
                <w:color w:val="000000"/>
                <w:lang w:eastAsia="en-CA"/>
              </w:rPr>
              <w:t xml:space="preserve">A player can play in the U12 category up until the previous month, from the month in which they turn 13 years of age. </w:t>
            </w:r>
          </w:p>
        </w:tc>
      </w:tr>
      <w:tr w:rsidR="00DF2526" w:rsidRPr="00200F8F" w:rsidTr="006578D0">
        <w:trPr>
          <w:trHeight w:val="440"/>
        </w:trPr>
        <w:tc>
          <w:tcPr>
            <w:tcW w:w="1271" w:type="dxa"/>
            <w:tcBorders>
              <w:top w:val="nil"/>
              <w:left w:val="single" w:sz="8" w:space="0" w:color="auto"/>
              <w:bottom w:val="single" w:sz="8" w:space="0" w:color="auto"/>
              <w:right w:val="single" w:sz="4" w:space="0" w:color="auto"/>
            </w:tcBorders>
            <w:shd w:val="clear" w:color="auto" w:fill="auto"/>
            <w:vAlign w:val="center"/>
            <w:hideMark/>
          </w:tcPr>
          <w:p w:rsidR="00DF2526" w:rsidRPr="00200F8F" w:rsidRDefault="00DF2526" w:rsidP="006578D0">
            <w:pPr>
              <w:rPr>
                <w:rFonts w:eastAsia="Times New Roman"/>
                <w:b/>
                <w:bCs/>
                <w:color w:val="000000"/>
                <w:lang w:eastAsia="en-CA"/>
              </w:rPr>
            </w:pPr>
            <w:r w:rsidRPr="00200F8F">
              <w:rPr>
                <w:rFonts w:eastAsia="Times New Roman"/>
                <w:b/>
                <w:bCs/>
                <w:color w:val="000000"/>
                <w:lang w:eastAsia="en-CA"/>
              </w:rPr>
              <w:t>Tennis Australia</w:t>
            </w:r>
          </w:p>
        </w:tc>
        <w:tc>
          <w:tcPr>
            <w:tcW w:w="2127" w:type="dxa"/>
            <w:tcBorders>
              <w:top w:val="nil"/>
              <w:left w:val="nil"/>
              <w:bottom w:val="single" w:sz="8" w:space="0" w:color="auto"/>
              <w:right w:val="single" w:sz="4" w:space="0" w:color="auto"/>
            </w:tcBorders>
            <w:shd w:val="clear" w:color="auto" w:fill="auto"/>
            <w:vAlign w:val="center"/>
            <w:hideMark/>
          </w:tcPr>
          <w:p w:rsidR="00DF2526" w:rsidRPr="00200F8F" w:rsidRDefault="00DF2526" w:rsidP="006578D0">
            <w:pPr>
              <w:rPr>
                <w:rFonts w:eastAsia="Times New Roman"/>
                <w:color w:val="000000"/>
                <w:lang w:eastAsia="en-CA"/>
              </w:rPr>
            </w:pPr>
            <w:r w:rsidRPr="00200F8F">
              <w:rPr>
                <w:rFonts w:eastAsia="Times New Roman"/>
                <w:color w:val="000000"/>
                <w:lang w:eastAsia="en-CA"/>
              </w:rPr>
              <w:t>Monthly Age Up</w:t>
            </w:r>
          </w:p>
        </w:tc>
        <w:tc>
          <w:tcPr>
            <w:tcW w:w="6095" w:type="dxa"/>
            <w:tcBorders>
              <w:top w:val="nil"/>
              <w:left w:val="nil"/>
              <w:bottom w:val="single" w:sz="8" w:space="0" w:color="auto"/>
              <w:right w:val="single" w:sz="8" w:space="0" w:color="auto"/>
            </w:tcBorders>
            <w:shd w:val="clear" w:color="auto" w:fill="auto"/>
            <w:vAlign w:val="center"/>
            <w:hideMark/>
          </w:tcPr>
          <w:p w:rsidR="00DF2526" w:rsidRPr="00200F8F" w:rsidRDefault="00DF2526" w:rsidP="006578D0">
            <w:pPr>
              <w:rPr>
                <w:rFonts w:eastAsia="Times New Roman"/>
                <w:color w:val="000000"/>
                <w:lang w:eastAsia="en-CA"/>
              </w:rPr>
            </w:pPr>
            <w:r w:rsidRPr="00200F8F">
              <w:rPr>
                <w:rFonts w:eastAsia="Times New Roman"/>
                <w:color w:val="000000"/>
                <w:lang w:eastAsia="en-CA"/>
              </w:rPr>
              <w:t xml:space="preserve">A player can play in the U12 category as long as they do not turn 13 years of age at the end of the month in which the tournament finishes.  </w:t>
            </w:r>
          </w:p>
        </w:tc>
      </w:tr>
    </w:tbl>
    <w:p w:rsidR="00F618E5" w:rsidRDefault="00F618E5" w:rsidP="00E72BF8">
      <w:pPr>
        <w:rPr>
          <w:b/>
          <w:bCs/>
          <w:u w:val="single"/>
        </w:rPr>
      </w:pPr>
    </w:p>
    <w:p w:rsidR="002418AA" w:rsidRDefault="00CD029E" w:rsidP="00E72BF8">
      <w:pPr>
        <w:rPr>
          <w:bCs/>
        </w:rPr>
      </w:pPr>
      <w:r>
        <w:rPr>
          <w:b/>
          <w:bCs/>
          <w:u w:val="single"/>
        </w:rPr>
        <w:lastRenderedPageBreak/>
        <w:t>Findings</w:t>
      </w:r>
      <w:r w:rsidR="009C23B4" w:rsidRPr="002418AA">
        <w:rPr>
          <w:b/>
          <w:bCs/>
        </w:rPr>
        <w:t>:</w:t>
      </w:r>
      <w:r w:rsidR="009C23B4" w:rsidRPr="00E72BF8">
        <w:rPr>
          <w:bCs/>
        </w:rPr>
        <w:t xml:space="preserve"> </w:t>
      </w:r>
    </w:p>
    <w:p w:rsidR="002418AA" w:rsidRPr="002418AA" w:rsidRDefault="002418AA" w:rsidP="002418AA">
      <w:pPr>
        <w:pStyle w:val="ListParagraph"/>
        <w:numPr>
          <w:ilvl w:val="0"/>
          <w:numId w:val="11"/>
        </w:numPr>
      </w:pPr>
      <w:r>
        <w:rPr>
          <w:bCs/>
        </w:rPr>
        <w:t xml:space="preserve">Player </w:t>
      </w:r>
      <w:r w:rsidRPr="002418AA">
        <w:rPr>
          <w:bCs/>
        </w:rPr>
        <w:t xml:space="preserve">results were not skewed in favour of the players born in the first half of the year. </w:t>
      </w:r>
    </w:p>
    <w:p w:rsidR="002418AA" w:rsidRPr="002418AA" w:rsidRDefault="002418AA" w:rsidP="002418AA">
      <w:pPr>
        <w:pStyle w:val="ListParagraph"/>
        <w:numPr>
          <w:ilvl w:val="0"/>
          <w:numId w:val="11"/>
        </w:numPr>
      </w:pPr>
      <w:r w:rsidRPr="002418AA">
        <w:rPr>
          <w:bCs/>
        </w:rPr>
        <w:t xml:space="preserve">Players dropping out of competition were spread more or less evenly across Q1 to Q4. </w:t>
      </w:r>
    </w:p>
    <w:p w:rsidR="00560ED6" w:rsidRPr="00560ED6" w:rsidRDefault="002418AA" w:rsidP="002418AA">
      <w:pPr>
        <w:pStyle w:val="ListParagraph"/>
        <w:numPr>
          <w:ilvl w:val="0"/>
          <w:numId w:val="11"/>
        </w:numPr>
        <w:spacing w:line="259" w:lineRule="auto"/>
        <w:rPr>
          <w:b/>
          <w:bCs/>
          <w:i/>
          <w:u w:val="single"/>
        </w:rPr>
      </w:pPr>
      <w:r w:rsidRPr="002418AA">
        <w:rPr>
          <w:bCs/>
        </w:rPr>
        <w:t xml:space="preserve">Our overall retention rate was high and there was barely any </w:t>
      </w:r>
      <w:r w:rsidR="000F178B">
        <w:rPr>
          <w:bCs/>
        </w:rPr>
        <w:t>difference</w:t>
      </w:r>
      <w:r w:rsidRPr="002418AA">
        <w:rPr>
          <w:bCs/>
        </w:rPr>
        <w:t xml:space="preserve"> between retaining players </w:t>
      </w:r>
      <w:r w:rsidR="000F178B">
        <w:rPr>
          <w:bCs/>
        </w:rPr>
        <w:t xml:space="preserve">born in each of the 4 Quarters of the year. </w:t>
      </w:r>
    </w:p>
    <w:p w:rsidR="00CD029E" w:rsidRPr="00E83DB5" w:rsidRDefault="00DF2526" w:rsidP="006D6B16">
      <w:pPr>
        <w:pStyle w:val="ListParagraph"/>
        <w:numPr>
          <w:ilvl w:val="0"/>
          <w:numId w:val="11"/>
        </w:numPr>
        <w:spacing w:line="259" w:lineRule="auto"/>
        <w:rPr>
          <w:b/>
          <w:bCs/>
          <w:i/>
          <w:u w:val="single"/>
        </w:rPr>
      </w:pPr>
      <w:r>
        <w:rPr>
          <w:bCs/>
        </w:rPr>
        <w:t>The</w:t>
      </w:r>
      <w:r w:rsidR="00560ED6" w:rsidRPr="00365596">
        <w:rPr>
          <w:bCs/>
        </w:rPr>
        <w:t xml:space="preserve"> other leading sports </w:t>
      </w:r>
      <w:r w:rsidR="00AE3F2B" w:rsidRPr="00365596">
        <w:rPr>
          <w:bCs/>
        </w:rPr>
        <w:t xml:space="preserve">in Canada </w:t>
      </w:r>
      <w:r w:rsidR="00560ED6" w:rsidRPr="00365596">
        <w:rPr>
          <w:bCs/>
        </w:rPr>
        <w:t>like Hockey, Soccer</w:t>
      </w:r>
      <w:r w:rsidR="00AE3F2B" w:rsidRPr="00365596">
        <w:rPr>
          <w:bCs/>
        </w:rPr>
        <w:t>, Baseball</w:t>
      </w:r>
      <w:r w:rsidR="00560ED6" w:rsidRPr="00365596">
        <w:rPr>
          <w:bCs/>
        </w:rPr>
        <w:t xml:space="preserve"> and Basketball also have a calendar year age up policy for their junior competition. </w:t>
      </w:r>
    </w:p>
    <w:p w:rsidR="00E64CE3" w:rsidRDefault="00E64CE3" w:rsidP="00DF2526">
      <w:pPr>
        <w:spacing w:line="259" w:lineRule="auto"/>
        <w:rPr>
          <w:bCs/>
        </w:rPr>
      </w:pPr>
    </w:p>
    <w:p w:rsidR="00DF2526" w:rsidRPr="00DF2526" w:rsidRDefault="00DF2526" w:rsidP="00DF2526">
      <w:pPr>
        <w:spacing w:line="259" w:lineRule="auto"/>
        <w:rPr>
          <w:b/>
          <w:bCs/>
          <w:i/>
          <w:u w:val="single"/>
        </w:rPr>
      </w:pPr>
      <w:r w:rsidRPr="002418AA">
        <w:rPr>
          <w:bCs/>
        </w:rPr>
        <w:t>Based on the research conducted</w:t>
      </w:r>
      <w:r w:rsidR="0001002D">
        <w:rPr>
          <w:bCs/>
        </w:rPr>
        <w:t>, we feel</w:t>
      </w:r>
      <w:r w:rsidR="00E64CE3">
        <w:rPr>
          <w:bCs/>
        </w:rPr>
        <w:t xml:space="preserve"> </w:t>
      </w:r>
      <w:r w:rsidR="00B405B1">
        <w:rPr>
          <w:bCs/>
        </w:rPr>
        <w:t xml:space="preserve">that the current </w:t>
      </w:r>
      <w:r w:rsidR="00E64CE3">
        <w:rPr>
          <w:bCs/>
        </w:rPr>
        <w:t>“C</w:t>
      </w:r>
      <w:r w:rsidR="00E83DB5">
        <w:rPr>
          <w:bCs/>
        </w:rPr>
        <w:t xml:space="preserve">alendar </w:t>
      </w:r>
      <w:r w:rsidR="00E64CE3">
        <w:rPr>
          <w:bCs/>
        </w:rPr>
        <w:t>Y</w:t>
      </w:r>
      <w:r w:rsidR="00E83DB5">
        <w:rPr>
          <w:bCs/>
        </w:rPr>
        <w:t>ear</w:t>
      </w:r>
      <w:r w:rsidR="00E83DB5" w:rsidRPr="00E83DB5">
        <w:rPr>
          <w:bCs/>
        </w:rPr>
        <w:t xml:space="preserve"> </w:t>
      </w:r>
      <w:r w:rsidR="00E64CE3">
        <w:rPr>
          <w:bCs/>
        </w:rPr>
        <w:t xml:space="preserve">Age Up Policy” </w:t>
      </w:r>
      <w:r w:rsidR="00E83DB5" w:rsidRPr="00E83DB5">
        <w:rPr>
          <w:bCs/>
        </w:rPr>
        <w:t>to determine age group eligibility for sanctioned national and provincial events</w:t>
      </w:r>
      <w:r w:rsidR="00E83DB5">
        <w:rPr>
          <w:bCs/>
        </w:rPr>
        <w:t xml:space="preserve"> </w:t>
      </w:r>
      <w:r w:rsidR="0001002D">
        <w:rPr>
          <w:bCs/>
        </w:rPr>
        <w:t>is appropriate and meets the</w:t>
      </w:r>
      <w:r w:rsidR="00B405B1">
        <w:rPr>
          <w:bCs/>
        </w:rPr>
        <w:t xml:space="preserve"> needs of our </w:t>
      </w:r>
      <w:r w:rsidR="0001002D">
        <w:rPr>
          <w:bCs/>
        </w:rPr>
        <w:t xml:space="preserve">Canadian tennis competitive </w:t>
      </w:r>
      <w:r w:rsidR="00B405B1">
        <w:rPr>
          <w:bCs/>
        </w:rPr>
        <w:t>landscape</w:t>
      </w:r>
      <w:r w:rsidR="00E64CE3">
        <w:rPr>
          <w:bCs/>
        </w:rPr>
        <w:t xml:space="preserve">. </w:t>
      </w:r>
    </w:p>
    <w:sectPr w:rsidR="00DF2526" w:rsidRPr="00DF2526" w:rsidSect="00A87A5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83593"/>
    <w:multiLevelType w:val="hybridMultilevel"/>
    <w:tmpl w:val="10CCE246"/>
    <w:lvl w:ilvl="0" w:tplc="527A99DA">
      <w:start w:val="2"/>
      <w:numFmt w:val="decimal"/>
      <w:lvlText w:val="%1."/>
      <w:lvlJc w:val="left"/>
      <w:pPr>
        <w:tabs>
          <w:tab w:val="num" w:pos="720"/>
        </w:tabs>
        <w:ind w:left="720" w:hanging="360"/>
      </w:pPr>
    </w:lvl>
    <w:lvl w:ilvl="1" w:tplc="EAD21F0A" w:tentative="1">
      <w:start w:val="1"/>
      <w:numFmt w:val="decimal"/>
      <w:lvlText w:val="%2."/>
      <w:lvlJc w:val="left"/>
      <w:pPr>
        <w:tabs>
          <w:tab w:val="num" w:pos="1440"/>
        </w:tabs>
        <w:ind w:left="1440" w:hanging="360"/>
      </w:pPr>
    </w:lvl>
    <w:lvl w:ilvl="2" w:tplc="47A4D34E" w:tentative="1">
      <w:start w:val="1"/>
      <w:numFmt w:val="decimal"/>
      <w:lvlText w:val="%3."/>
      <w:lvlJc w:val="left"/>
      <w:pPr>
        <w:tabs>
          <w:tab w:val="num" w:pos="2160"/>
        </w:tabs>
        <w:ind w:left="2160" w:hanging="360"/>
      </w:pPr>
    </w:lvl>
    <w:lvl w:ilvl="3" w:tplc="F8F09152" w:tentative="1">
      <w:start w:val="1"/>
      <w:numFmt w:val="decimal"/>
      <w:lvlText w:val="%4."/>
      <w:lvlJc w:val="left"/>
      <w:pPr>
        <w:tabs>
          <w:tab w:val="num" w:pos="2880"/>
        </w:tabs>
        <w:ind w:left="2880" w:hanging="360"/>
      </w:pPr>
    </w:lvl>
    <w:lvl w:ilvl="4" w:tplc="631E02DA" w:tentative="1">
      <w:start w:val="1"/>
      <w:numFmt w:val="decimal"/>
      <w:lvlText w:val="%5."/>
      <w:lvlJc w:val="left"/>
      <w:pPr>
        <w:tabs>
          <w:tab w:val="num" w:pos="3600"/>
        </w:tabs>
        <w:ind w:left="3600" w:hanging="360"/>
      </w:pPr>
    </w:lvl>
    <w:lvl w:ilvl="5" w:tplc="C39CDC50" w:tentative="1">
      <w:start w:val="1"/>
      <w:numFmt w:val="decimal"/>
      <w:lvlText w:val="%6."/>
      <w:lvlJc w:val="left"/>
      <w:pPr>
        <w:tabs>
          <w:tab w:val="num" w:pos="4320"/>
        </w:tabs>
        <w:ind w:left="4320" w:hanging="360"/>
      </w:pPr>
    </w:lvl>
    <w:lvl w:ilvl="6" w:tplc="A4ACD748" w:tentative="1">
      <w:start w:val="1"/>
      <w:numFmt w:val="decimal"/>
      <w:lvlText w:val="%7."/>
      <w:lvlJc w:val="left"/>
      <w:pPr>
        <w:tabs>
          <w:tab w:val="num" w:pos="5040"/>
        </w:tabs>
        <w:ind w:left="5040" w:hanging="360"/>
      </w:pPr>
    </w:lvl>
    <w:lvl w:ilvl="7" w:tplc="5D80814C" w:tentative="1">
      <w:start w:val="1"/>
      <w:numFmt w:val="decimal"/>
      <w:lvlText w:val="%8."/>
      <w:lvlJc w:val="left"/>
      <w:pPr>
        <w:tabs>
          <w:tab w:val="num" w:pos="5760"/>
        </w:tabs>
        <w:ind w:left="5760" w:hanging="360"/>
      </w:pPr>
    </w:lvl>
    <w:lvl w:ilvl="8" w:tplc="CE448DC4" w:tentative="1">
      <w:start w:val="1"/>
      <w:numFmt w:val="decimal"/>
      <w:lvlText w:val="%9."/>
      <w:lvlJc w:val="left"/>
      <w:pPr>
        <w:tabs>
          <w:tab w:val="num" w:pos="6480"/>
        </w:tabs>
        <w:ind w:left="6480" w:hanging="360"/>
      </w:pPr>
    </w:lvl>
  </w:abstractNum>
  <w:abstractNum w:abstractNumId="1" w15:restartNumberingAfterBreak="0">
    <w:nsid w:val="1387456E"/>
    <w:multiLevelType w:val="hybridMultilevel"/>
    <w:tmpl w:val="8F74E6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4313CD"/>
    <w:multiLevelType w:val="hybridMultilevel"/>
    <w:tmpl w:val="8F74E6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D64471"/>
    <w:multiLevelType w:val="hybridMultilevel"/>
    <w:tmpl w:val="BEECFDEC"/>
    <w:lvl w:ilvl="0" w:tplc="372E36E8">
      <w:start w:val="1"/>
      <w:numFmt w:val="bullet"/>
      <w:lvlText w:val=""/>
      <w:lvlJc w:val="left"/>
      <w:pPr>
        <w:ind w:left="720" w:hanging="360"/>
      </w:pPr>
      <w:rPr>
        <w:rFonts w:ascii="Wingdings" w:eastAsia="Calibri"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F0330CF"/>
    <w:multiLevelType w:val="hybridMultilevel"/>
    <w:tmpl w:val="1A7EA36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391354D0"/>
    <w:multiLevelType w:val="hybridMultilevel"/>
    <w:tmpl w:val="FCD89AF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3B420B67"/>
    <w:multiLevelType w:val="hybridMultilevel"/>
    <w:tmpl w:val="1A7EA36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43D45B2E"/>
    <w:multiLevelType w:val="hybridMultilevel"/>
    <w:tmpl w:val="569AADE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86027B9"/>
    <w:multiLevelType w:val="hybridMultilevel"/>
    <w:tmpl w:val="413AA48E"/>
    <w:lvl w:ilvl="0" w:tplc="4B4AC106">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D4B4354"/>
    <w:multiLevelType w:val="hybridMultilevel"/>
    <w:tmpl w:val="600E90A2"/>
    <w:lvl w:ilvl="0" w:tplc="FCF4C5A8">
      <w:start w:val="1"/>
      <w:numFmt w:val="bullet"/>
      <w:lvlText w:val=""/>
      <w:lvlJc w:val="left"/>
      <w:pPr>
        <w:ind w:left="720" w:hanging="360"/>
      </w:pPr>
      <w:rPr>
        <w:rFonts w:ascii="Wingdings" w:eastAsia="Calibri"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63C3DFA"/>
    <w:multiLevelType w:val="hybridMultilevel"/>
    <w:tmpl w:val="18DC2B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4"/>
  </w:num>
  <w:num w:numId="8">
    <w:abstractNumId w:val="6"/>
  </w:num>
  <w:num w:numId="9">
    <w:abstractNumId w:val="2"/>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32E"/>
    <w:rsid w:val="0000234C"/>
    <w:rsid w:val="0001002D"/>
    <w:rsid w:val="00094935"/>
    <w:rsid w:val="000C4351"/>
    <w:rsid w:val="000F178B"/>
    <w:rsid w:val="001107DB"/>
    <w:rsid w:val="0011084E"/>
    <w:rsid w:val="0011232E"/>
    <w:rsid w:val="0015376E"/>
    <w:rsid w:val="00165920"/>
    <w:rsid w:val="001A1473"/>
    <w:rsid w:val="00200F8F"/>
    <w:rsid w:val="002106D6"/>
    <w:rsid w:val="0024171D"/>
    <w:rsid w:val="002418AA"/>
    <w:rsid w:val="00277861"/>
    <w:rsid w:val="00287ADA"/>
    <w:rsid w:val="002C75E0"/>
    <w:rsid w:val="0032131D"/>
    <w:rsid w:val="003611BD"/>
    <w:rsid w:val="00365596"/>
    <w:rsid w:val="003A1D49"/>
    <w:rsid w:val="003B12BF"/>
    <w:rsid w:val="003B73EC"/>
    <w:rsid w:val="00425A30"/>
    <w:rsid w:val="00443217"/>
    <w:rsid w:val="0045287C"/>
    <w:rsid w:val="00491EB5"/>
    <w:rsid w:val="004F0443"/>
    <w:rsid w:val="00506896"/>
    <w:rsid w:val="005350EB"/>
    <w:rsid w:val="00560ED6"/>
    <w:rsid w:val="00561255"/>
    <w:rsid w:val="005742EF"/>
    <w:rsid w:val="005C6164"/>
    <w:rsid w:val="005E045A"/>
    <w:rsid w:val="00613405"/>
    <w:rsid w:val="00624742"/>
    <w:rsid w:val="006255D3"/>
    <w:rsid w:val="00631BBB"/>
    <w:rsid w:val="00645445"/>
    <w:rsid w:val="00647E9C"/>
    <w:rsid w:val="006F17AB"/>
    <w:rsid w:val="00712FE4"/>
    <w:rsid w:val="007471DD"/>
    <w:rsid w:val="0077396C"/>
    <w:rsid w:val="008115BC"/>
    <w:rsid w:val="00826D6C"/>
    <w:rsid w:val="0086229C"/>
    <w:rsid w:val="008A77CB"/>
    <w:rsid w:val="009473B5"/>
    <w:rsid w:val="00975F74"/>
    <w:rsid w:val="009872C5"/>
    <w:rsid w:val="00992980"/>
    <w:rsid w:val="00997B1F"/>
    <w:rsid w:val="009C23B4"/>
    <w:rsid w:val="009D5FEE"/>
    <w:rsid w:val="009E606B"/>
    <w:rsid w:val="009F15A7"/>
    <w:rsid w:val="009F792A"/>
    <w:rsid w:val="00A004CD"/>
    <w:rsid w:val="00A46C4C"/>
    <w:rsid w:val="00A5324C"/>
    <w:rsid w:val="00A87A58"/>
    <w:rsid w:val="00AE3F2B"/>
    <w:rsid w:val="00B107F3"/>
    <w:rsid w:val="00B33454"/>
    <w:rsid w:val="00B405B1"/>
    <w:rsid w:val="00B679B0"/>
    <w:rsid w:val="00B91500"/>
    <w:rsid w:val="00BE0498"/>
    <w:rsid w:val="00C044E0"/>
    <w:rsid w:val="00C149C4"/>
    <w:rsid w:val="00C75F17"/>
    <w:rsid w:val="00CD029E"/>
    <w:rsid w:val="00D34A3E"/>
    <w:rsid w:val="00D62766"/>
    <w:rsid w:val="00D77795"/>
    <w:rsid w:val="00D86256"/>
    <w:rsid w:val="00D86DDF"/>
    <w:rsid w:val="00DA6D47"/>
    <w:rsid w:val="00DE4D4A"/>
    <w:rsid w:val="00DF2526"/>
    <w:rsid w:val="00E64CE3"/>
    <w:rsid w:val="00E72BF8"/>
    <w:rsid w:val="00E83DB5"/>
    <w:rsid w:val="00F22E65"/>
    <w:rsid w:val="00F34C2A"/>
    <w:rsid w:val="00F43794"/>
    <w:rsid w:val="00F618E5"/>
    <w:rsid w:val="00F65A80"/>
    <w:rsid w:val="00FB705C"/>
    <w:rsid w:val="00FC6FBA"/>
    <w:rsid w:val="00FE366E"/>
    <w:rsid w:val="00FF06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896B4"/>
  <w15:chartTrackingRefBased/>
  <w15:docId w15:val="{7B82F87B-3894-41A2-A97A-405788BF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4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498"/>
    <w:pPr>
      <w:spacing w:after="160" w:line="252" w:lineRule="auto"/>
      <w:ind w:left="720"/>
      <w:contextualSpacing/>
    </w:pPr>
  </w:style>
  <w:style w:type="table" w:styleId="TableGrid">
    <w:name w:val="Table Grid"/>
    <w:basedOn w:val="TableNormal"/>
    <w:uiPriority w:val="39"/>
    <w:rsid w:val="00241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76E"/>
    <w:rPr>
      <w:color w:val="0563C1" w:themeColor="hyperlink"/>
      <w:u w:val="single"/>
    </w:rPr>
  </w:style>
  <w:style w:type="paragraph" w:styleId="BalloonText">
    <w:name w:val="Balloon Text"/>
    <w:basedOn w:val="Normal"/>
    <w:link w:val="BalloonTextChar"/>
    <w:uiPriority w:val="99"/>
    <w:semiHidden/>
    <w:unhideWhenUsed/>
    <w:rsid w:val="000F1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9107">
      <w:bodyDiv w:val="1"/>
      <w:marLeft w:val="0"/>
      <w:marRight w:val="0"/>
      <w:marTop w:val="0"/>
      <w:marBottom w:val="0"/>
      <w:divBdr>
        <w:top w:val="none" w:sz="0" w:space="0" w:color="auto"/>
        <w:left w:val="none" w:sz="0" w:space="0" w:color="auto"/>
        <w:bottom w:val="none" w:sz="0" w:space="0" w:color="auto"/>
        <w:right w:val="none" w:sz="0" w:space="0" w:color="auto"/>
      </w:divBdr>
    </w:div>
    <w:div w:id="383456531">
      <w:bodyDiv w:val="1"/>
      <w:marLeft w:val="0"/>
      <w:marRight w:val="0"/>
      <w:marTop w:val="0"/>
      <w:marBottom w:val="0"/>
      <w:divBdr>
        <w:top w:val="none" w:sz="0" w:space="0" w:color="auto"/>
        <w:left w:val="none" w:sz="0" w:space="0" w:color="auto"/>
        <w:bottom w:val="none" w:sz="0" w:space="0" w:color="auto"/>
        <w:right w:val="none" w:sz="0" w:space="0" w:color="auto"/>
      </w:divBdr>
    </w:div>
    <w:div w:id="437259843">
      <w:bodyDiv w:val="1"/>
      <w:marLeft w:val="0"/>
      <w:marRight w:val="0"/>
      <w:marTop w:val="0"/>
      <w:marBottom w:val="0"/>
      <w:divBdr>
        <w:top w:val="none" w:sz="0" w:space="0" w:color="auto"/>
        <w:left w:val="none" w:sz="0" w:space="0" w:color="auto"/>
        <w:bottom w:val="none" w:sz="0" w:space="0" w:color="auto"/>
        <w:right w:val="none" w:sz="0" w:space="0" w:color="auto"/>
      </w:divBdr>
    </w:div>
    <w:div w:id="517041758">
      <w:bodyDiv w:val="1"/>
      <w:marLeft w:val="0"/>
      <w:marRight w:val="0"/>
      <w:marTop w:val="0"/>
      <w:marBottom w:val="0"/>
      <w:divBdr>
        <w:top w:val="none" w:sz="0" w:space="0" w:color="auto"/>
        <w:left w:val="none" w:sz="0" w:space="0" w:color="auto"/>
        <w:bottom w:val="none" w:sz="0" w:space="0" w:color="auto"/>
        <w:right w:val="none" w:sz="0" w:space="0" w:color="auto"/>
      </w:divBdr>
    </w:div>
    <w:div w:id="560167351">
      <w:bodyDiv w:val="1"/>
      <w:marLeft w:val="0"/>
      <w:marRight w:val="0"/>
      <w:marTop w:val="0"/>
      <w:marBottom w:val="0"/>
      <w:divBdr>
        <w:top w:val="none" w:sz="0" w:space="0" w:color="auto"/>
        <w:left w:val="none" w:sz="0" w:space="0" w:color="auto"/>
        <w:bottom w:val="none" w:sz="0" w:space="0" w:color="auto"/>
        <w:right w:val="none" w:sz="0" w:space="0" w:color="auto"/>
      </w:divBdr>
    </w:div>
    <w:div w:id="642929501">
      <w:bodyDiv w:val="1"/>
      <w:marLeft w:val="0"/>
      <w:marRight w:val="0"/>
      <w:marTop w:val="0"/>
      <w:marBottom w:val="0"/>
      <w:divBdr>
        <w:top w:val="none" w:sz="0" w:space="0" w:color="auto"/>
        <w:left w:val="none" w:sz="0" w:space="0" w:color="auto"/>
        <w:bottom w:val="none" w:sz="0" w:space="0" w:color="auto"/>
        <w:right w:val="none" w:sz="0" w:space="0" w:color="auto"/>
      </w:divBdr>
    </w:div>
    <w:div w:id="673217351">
      <w:bodyDiv w:val="1"/>
      <w:marLeft w:val="0"/>
      <w:marRight w:val="0"/>
      <w:marTop w:val="0"/>
      <w:marBottom w:val="0"/>
      <w:divBdr>
        <w:top w:val="none" w:sz="0" w:space="0" w:color="auto"/>
        <w:left w:val="none" w:sz="0" w:space="0" w:color="auto"/>
        <w:bottom w:val="none" w:sz="0" w:space="0" w:color="auto"/>
        <w:right w:val="none" w:sz="0" w:space="0" w:color="auto"/>
      </w:divBdr>
    </w:div>
    <w:div w:id="759832588">
      <w:bodyDiv w:val="1"/>
      <w:marLeft w:val="0"/>
      <w:marRight w:val="0"/>
      <w:marTop w:val="0"/>
      <w:marBottom w:val="0"/>
      <w:divBdr>
        <w:top w:val="none" w:sz="0" w:space="0" w:color="auto"/>
        <w:left w:val="none" w:sz="0" w:space="0" w:color="auto"/>
        <w:bottom w:val="none" w:sz="0" w:space="0" w:color="auto"/>
        <w:right w:val="none" w:sz="0" w:space="0" w:color="auto"/>
      </w:divBdr>
    </w:div>
    <w:div w:id="776363624">
      <w:bodyDiv w:val="1"/>
      <w:marLeft w:val="0"/>
      <w:marRight w:val="0"/>
      <w:marTop w:val="0"/>
      <w:marBottom w:val="0"/>
      <w:divBdr>
        <w:top w:val="none" w:sz="0" w:space="0" w:color="auto"/>
        <w:left w:val="none" w:sz="0" w:space="0" w:color="auto"/>
        <w:bottom w:val="none" w:sz="0" w:space="0" w:color="auto"/>
        <w:right w:val="none" w:sz="0" w:space="0" w:color="auto"/>
      </w:divBdr>
    </w:div>
    <w:div w:id="842284600">
      <w:bodyDiv w:val="1"/>
      <w:marLeft w:val="0"/>
      <w:marRight w:val="0"/>
      <w:marTop w:val="0"/>
      <w:marBottom w:val="0"/>
      <w:divBdr>
        <w:top w:val="none" w:sz="0" w:space="0" w:color="auto"/>
        <w:left w:val="none" w:sz="0" w:space="0" w:color="auto"/>
        <w:bottom w:val="none" w:sz="0" w:space="0" w:color="auto"/>
        <w:right w:val="none" w:sz="0" w:space="0" w:color="auto"/>
      </w:divBdr>
    </w:div>
    <w:div w:id="866411612">
      <w:bodyDiv w:val="1"/>
      <w:marLeft w:val="0"/>
      <w:marRight w:val="0"/>
      <w:marTop w:val="0"/>
      <w:marBottom w:val="0"/>
      <w:divBdr>
        <w:top w:val="none" w:sz="0" w:space="0" w:color="auto"/>
        <w:left w:val="none" w:sz="0" w:space="0" w:color="auto"/>
        <w:bottom w:val="none" w:sz="0" w:space="0" w:color="auto"/>
        <w:right w:val="none" w:sz="0" w:space="0" w:color="auto"/>
      </w:divBdr>
    </w:div>
    <w:div w:id="914053921">
      <w:bodyDiv w:val="1"/>
      <w:marLeft w:val="0"/>
      <w:marRight w:val="0"/>
      <w:marTop w:val="0"/>
      <w:marBottom w:val="0"/>
      <w:divBdr>
        <w:top w:val="none" w:sz="0" w:space="0" w:color="auto"/>
        <w:left w:val="none" w:sz="0" w:space="0" w:color="auto"/>
        <w:bottom w:val="none" w:sz="0" w:space="0" w:color="auto"/>
        <w:right w:val="none" w:sz="0" w:space="0" w:color="auto"/>
      </w:divBdr>
    </w:div>
    <w:div w:id="970742817">
      <w:bodyDiv w:val="1"/>
      <w:marLeft w:val="0"/>
      <w:marRight w:val="0"/>
      <w:marTop w:val="0"/>
      <w:marBottom w:val="0"/>
      <w:divBdr>
        <w:top w:val="none" w:sz="0" w:space="0" w:color="auto"/>
        <w:left w:val="none" w:sz="0" w:space="0" w:color="auto"/>
        <w:bottom w:val="none" w:sz="0" w:space="0" w:color="auto"/>
        <w:right w:val="none" w:sz="0" w:space="0" w:color="auto"/>
      </w:divBdr>
      <w:divsChild>
        <w:div w:id="1375696178">
          <w:marLeft w:val="547"/>
          <w:marRight w:val="0"/>
          <w:marTop w:val="0"/>
          <w:marBottom w:val="160"/>
          <w:divBdr>
            <w:top w:val="none" w:sz="0" w:space="0" w:color="auto"/>
            <w:left w:val="none" w:sz="0" w:space="0" w:color="auto"/>
            <w:bottom w:val="none" w:sz="0" w:space="0" w:color="auto"/>
            <w:right w:val="none" w:sz="0" w:space="0" w:color="auto"/>
          </w:divBdr>
        </w:div>
      </w:divsChild>
    </w:div>
    <w:div w:id="1094934581">
      <w:bodyDiv w:val="1"/>
      <w:marLeft w:val="0"/>
      <w:marRight w:val="0"/>
      <w:marTop w:val="0"/>
      <w:marBottom w:val="0"/>
      <w:divBdr>
        <w:top w:val="none" w:sz="0" w:space="0" w:color="auto"/>
        <w:left w:val="none" w:sz="0" w:space="0" w:color="auto"/>
        <w:bottom w:val="none" w:sz="0" w:space="0" w:color="auto"/>
        <w:right w:val="none" w:sz="0" w:space="0" w:color="auto"/>
      </w:divBdr>
    </w:div>
    <w:div w:id="1123307151">
      <w:bodyDiv w:val="1"/>
      <w:marLeft w:val="0"/>
      <w:marRight w:val="0"/>
      <w:marTop w:val="0"/>
      <w:marBottom w:val="0"/>
      <w:divBdr>
        <w:top w:val="none" w:sz="0" w:space="0" w:color="auto"/>
        <w:left w:val="none" w:sz="0" w:space="0" w:color="auto"/>
        <w:bottom w:val="none" w:sz="0" w:space="0" w:color="auto"/>
        <w:right w:val="none" w:sz="0" w:space="0" w:color="auto"/>
      </w:divBdr>
    </w:div>
    <w:div w:id="1325235410">
      <w:bodyDiv w:val="1"/>
      <w:marLeft w:val="0"/>
      <w:marRight w:val="0"/>
      <w:marTop w:val="0"/>
      <w:marBottom w:val="0"/>
      <w:divBdr>
        <w:top w:val="none" w:sz="0" w:space="0" w:color="auto"/>
        <w:left w:val="none" w:sz="0" w:space="0" w:color="auto"/>
        <w:bottom w:val="none" w:sz="0" w:space="0" w:color="auto"/>
        <w:right w:val="none" w:sz="0" w:space="0" w:color="auto"/>
      </w:divBdr>
    </w:div>
    <w:div w:id="180993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Nath</dc:creator>
  <cp:keywords/>
  <dc:description/>
  <cp:lastModifiedBy>Arun Nath</cp:lastModifiedBy>
  <cp:revision>4</cp:revision>
  <cp:lastPrinted>2018-07-25T20:43:00Z</cp:lastPrinted>
  <dcterms:created xsi:type="dcterms:W3CDTF">2018-10-23T13:05:00Z</dcterms:created>
  <dcterms:modified xsi:type="dcterms:W3CDTF">2018-10-23T13:45:00Z</dcterms:modified>
</cp:coreProperties>
</file>